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6C6A" w:rsidRDefault="00317F1B">
      <w:pPr>
        <w:jc w:val="both"/>
        <w:rPr>
          <w:color w:val="000000"/>
          <w:sz w:val="22"/>
          <w:szCs w:val="22"/>
        </w:rPr>
      </w:pPr>
      <w:r>
        <w:rPr>
          <w:color w:val="000000"/>
          <w:sz w:val="22"/>
          <w:szCs w:val="22"/>
        </w:rPr>
        <w:t xml:space="preserve">Bogotá D.C, </w:t>
      </w:r>
      <w:proofErr w:type="gramStart"/>
      <w:r>
        <w:rPr>
          <w:color w:val="000000"/>
          <w:sz w:val="22"/>
          <w:szCs w:val="22"/>
        </w:rPr>
        <w:t>Octubre</w:t>
      </w:r>
      <w:proofErr w:type="gramEnd"/>
      <w:r>
        <w:rPr>
          <w:color w:val="000000"/>
          <w:sz w:val="22"/>
          <w:szCs w:val="22"/>
        </w:rPr>
        <w:t xml:space="preserve"> de 2025</w:t>
      </w:r>
    </w:p>
    <w:p w:rsidR="00EE6C6A" w:rsidRDefault="00EE6C6A">
      <w:pPr>
        <w:jc w:val="both"/>
        <w:rPr>
          <w:color w:val="000000"/>
          <w:sz w:val="22"/>
          <w:szCs w:val="22"/>
        </w:rPr>
      </w:pPr>
    </w:p>
    <w:p w:rsidR="00EE6C6A" w:rsidRDefault="00EE6C6A">
      <w:pPr>
        <w:jc w:val="both"/>
        <w:rPr>
          <w:color w:val="000000"/>
          <w:sz w:val="22"/>
          <w:szCs w:val="22"/>
        </w:rPr>
      </w:pPr>
    </w:p>
    <w:p w:rsidR="00EE6C6A" w:rsidRDefault="00EE6C6A">
      <w:pPr>
        <w:jc w:val="both"/>
        <w:rPr>
          <w:color w:val="000000"/>
          <w:sz w:val="22"/>
          <w:szCs w:val="22"/>
        </w:rPr>
      </w:pPr>
    </w:p>
    <w:p w:rsidR="00EE6C6A" w:rsidRDefault="00317F1B">
      <w:pPr>
        <w:jc w:val="both"/>
        <w:rPr>
          <w:color w:val="000000"/>
          <w:sz w:val="22"/>
          <w:szCs w:val="22"/>
        </w:rPr>
      </w:pPr>
      <w:r>
        <w:rPr>
          <w:color w:val="000000"/>
          <w:sz w:val="22"/>
          <w:szCs w:val="22"/>
        </w:rPr>
        <w:t>Doctora</w:t>
      </w:r>
    </w:p>
    <w:p w:rsidR="00EE6C6A" w:rsidRDefault="00317F1B">
      <w:pPr>
        <w:jc w:val="both"/>
        <w:rPr>
          <w:b/>
          <w:color w:val="000000"/>
          <w:sz w:val="22"/>
          <w:szCs w:val="22"/>
        </w:rPr>
      </w:pPr>
      <w:r>
        <w:rPr>
          <w:b/>
          <w:color w:val="000000"/>
          <w:sz w:val="22"/>
          <w:szCs w:val="22"/>
        </w:rPr>
        <w:t>LUZ ANGÉLICA VIZCAÍNO SOLANO</w:t>
      </w:r>
    </w:p>
    <w:p w:rsidR="00EE6C6A" w:rsidRDefault="00317F1B">
      <w:pPr>
        <w:jc w:val="both"/>
        <w:rPr>
          <w:color w:val="000000"/>
          <w:sz w:val="22"/>
          <w:szCs w:val="22"/>
        </w:rPr>
      </w:pPr>
      <w:r>
        <w:rPr>
          <w:color w:val="000000"/>
          <w:sz w:val="22"/>
          <w:szCs w:val="22"/>
        </w:rPr>
        <w:t>Secretaria General Organismo de Control</w:t>
      </w:r>
    </w:p>
    <w:p w:rsidR="00EE6C6A" w:rsidRDefault="00317F1B">
      <w:pPr>
        <w:jc w:val="both"/>
        <w:rPr>
          <w:color w:val="000000"/>
          <w:sz w:val="22"/>
          <w:szCs w:val="22"/>
        </w:rPr>
      </w:pPr>
      <w:r>
        <w:rPr>
          <w:color w:val="000000"/>
          <w:sz w:val="22"/>
          <w:szCs w:val="22"/>
        </w:rPr>
        <w:t>Ciudad.</w:t>
      </w:r>
    </w:p>
    <w:p w:rsidR="00EE6C6A" w:rsidRDefault="00EE6C6A">
      <w:pPr>
        <w:jc w:val="both"/>
        <w:rPr>
          <w:color w:val="000000"/>
          <w:sz w:val="22"/>
          <w:szCs w:val="22"/>
        </w:rPr>
      </w:pPr>
    </w:p>
    <w:p w:rsidR="00EE6C6A" w:rsidRDefault="00EE6C6A">
      <w:pPr>
        <w:jc w:val="both"/>
        <w:rPr>
          <w:color w:val="000000"/>
          <w:sz w:val="22"/>
          <w:szCs w:val="22"/>
        </w:rPr>
      </w:pPr>
    </w:p>
    <w:p w:rsidR="00EE6C6A" w:rsidRDefault="00317F1B">
      <w:pPr>
        <w:jc w:val="both"/>
        <w:rPr>
          <w:color w:val="000000"/>
          <w:sz w:val="22"/>
          <w:szCs w:val="22"/>
        </w:rPr>
      </w:pPr>
      <w:r>
        <w:rPr>
          <w:b/>
          <w:color w:val="000000"/>
          <w:sz w:val="22"/>
          <w:szCs w:val="22"/>
        </w:rPr>
        <w:t>Asunto</w:t>
      </w:r>
      <w:r>
        <w:rPr>
          <w:color w:val="000000"/>
          <w:sz w:val="22"/>
          <w:szCs w:val="22"/>
        </w:rPr>
        <w:t>: Radicación de Proyecto de Acuerdo</w:t>
      </w: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317F1B">
      <w:pPr>
        <w:jc w:val="both"/>
        <w:rPr>
          <w:color w:val="000000"/>
          <w:sz w:val="22"/>
          <w:szCs w:val="22"/>
        </w:rPr>
      </w:pPr>
      <w:r>
        <w:rPr>
          <w:color w:val="000000"/>
          <w:sz w:val="22"/>
          <w:szCs w:val="22"/>
        </w:rPr>
        <w:t xml:space="preserve">Apreciada secretaria, </w:t>
      </w:r>
    </w:p>
    <w:p w:rsidR="00EE6C6A" w:rsidRDefault="00EE6C6A">
      <w:pPr>
        <w:jc w:val="both"/>
        <w:rPr>
          <w:color w:val="000000"/>
          <w:sz w:val="22"/>
          <w:szCs w:val="22"/>
        </w:rPr>
      </w:pPr>
    </w:p>
    <w:p w:rsidR="00EE6C6A" w:rsidRDefault="00317F1B">
      <w:pPr>
        <w:ind w:right="902"/>
        <w:jc w:val="both"/>
        <w:rPr>
          <w:sz w:val="22"/>
          <w:szCs w:val="22"/>
        </w:rPr>
      </w:pPr>
      <w:r>
        <w:rPr>
          <w:color w:val="000000"/>
          <w:sz w:val="22"/>
          <w:szCs w:val="22"/>
        </w:rPr>
        <w:t>Por medio de la presente y de conformidad con lo dispuesto en los artículos 65, 66 y 67 del Acuerdo 741 de 2019, modificado por el Acuerdo 837 de 2022, me permito radicar ante su despacho el Proyecto de Acuerdo “</w:t>
      </w:r>
      <w:r>
        <w:rPr>
          <w:i/>
          <w:sz w:val="22"/>
          <w:szCs w:val="22"/>
        </w:rPr>
        <w:t>Por medio del cual se establecen los lineamientos de seguridad ciudadana en la movilidad intermediada por plataformas digitales en Bogotá y se dictan otras disposiciones”</w:t>
      </w:r>
    </w:p>
    <w:p w:rsidR="00EE6C6A" w:rsidRDefault="00EE6C6A">
      <w:pPr>
        <w:ind w:left="622" w:right="902"/>
        <w:jc w:val="both"/>
      </w:pPr>
    </w:p>
    <w:p w:rsidR="00EE6C6A" w:rsidRDefault="00EE6C6A">
      <w:pPr>
        <w:jc w:val="both"/>
        <w:rPr>
          <w:b/>
          <w:i/>
          <w:color w:val="000000"/>
          <w:sz w:val="22"/>
          <w:szCs w:val="22"/>
        </w:rPr>
      </w:pPr>
    </w:p>
    <w:p w:rsidR="00EE6C6A" w:rsidRDefault="00317F1B">
      <w:pPr>
        <w:pBdr>
          <w:top w:val="nil"/>
          <w:left w:val="nil"/>
          <w:bottom w:val="nil"/>
          <w:right w:val="nil"/>
          <w:between w:val="nil"/>
        </w:pBdr>
        <w:ind w:right="1020"/>
        <w:jc w:val="both"/>
        <w:rPr>
          <w:b/>
          <w:sz w:val="22"/>
          <w:szCs w:val="22"/>
        </w:rPr>
      </w:pPr>
      <w:r>
        <w:rPr>
          <w:b/>
          <w:sz w:val="22"/>
          <w:szCs w:val="22"/>
        </w:rPr>
        <w:t>CRISTINA CALDERÓN RESTREPO                FERNANDO LÓPEZ G.</w:t>
      </w:r>
    </w:p>
    <w:p w:rsidR="00EE6C6A" w:rsidRDefault="00317F1B">
      <w:pPr>
        <w:pBdr>
          <w:top w:val="nil"/>
          <w:left w:val="nil"/>
          <w:bottom w:val="nil"/>
          <w:right w:val="nil"/>
          <w:between w:val="nil"/>
        </w:pBdr>
        <w:tabs>
          <w:tab w:val="left" w:pos="5677"/>
        </w:tabs>
        <w:jc w:val="both"/>
        <w:rPr>
          <w:sz w:val="22"/>
          <w:szCs w:val="22"/>
        </w:rPr>
      </w:pPr>
      <w:r>
        <w:rPr>
          <w:sz w:val="22"/>
          <w:szCs w:val="22"/>
        </w:rPr>
        <w:t>Concejal de Bogotá                                            Concejal de Bogotá</w:t>
      </w:r>
    </w:p>
    <w:p w:rsidR="00EE6C6A" w:rsidRDefault="00317F1B">
      <w:pPr>
        <w:pBdr>
          <w:top w:val="nil"/>
          <w:left w:val="nil"/>
          <w:bottom w:val="nil"/>
          <w:right w:val="nil"/>
          <w:between w:val="nil"/>
        </w:pBdr>
        <w:tabs>
          <w:tab w:val="left" w:pos="5677"/>
        </w:tabs>
        <w:jc w:val="both"/>
        <w:rPr>
          <w:sz w:val="22"/>
          <w:szCs w:val="22"/>
        </w:rPr>
      </w:pPr>
      <w:r>
        <w:rPr>
          <w:sz w:val="22"/>
          <w:szCs w:val="22"/>
        </w:rPr>
        <w:t>Partido Nuevo Liberalismo                                 Partido Nuevo Liberalismo</w:t>
      </w:r>
    </w:p>
    <w:p w:rsidR="00EE6C6A" w:rsidRDefault="00EE6C6A">
      <w:pPr>
        <w:pBdr>
          <w:top w:val="nil"/>
          <w:left w:val="nil"/>
          <w:bottom w:val="nil"/>
          <w:right w:val="nil"/>
          <w:between w:val="nil"/>
        </w:pBdr>
        <w:jc w:val="both"/>
        <w:rPr>
          <w:sz w:val="22"/>
          <w:szCs w:val="22"/>
        </w:rPr>
      </w:pPr>
    </w:p>
    <w:p w:rsidR="00EE6C6A" w:rsidRDefault="00EE6C6A">
      <w:pPr>
        <w:pBdr>
          <w:top w:val="nil"/>
          <w:left w:val="nil"/>
          <w:bottom w:val="nil"/>
          <w:right w:val="nil"/>
          <w:between w:val="nil"/>
        </w:pBdr>
        <w:jc w:val="both"/>
        <w:rPr>
          <w:sz w:val="22"/>
          <w:szCs w:val="22"/>
        </w:rPr>
      </w:pPr>
    </w:p>
    <w:p w:rsidR="00EE6C6A" w:rsidRDefault="00317F1B">
      <w:pPr>
        <w:pBdr>
          <w:top w:val="nil"/>
          <w:left w:val="nil"/>
          <w:bottom w:val="nil"/>
          <w:right w:val="nil"/>
          <w:between w:val="nil"/>
        </w:pBdr>
        <w:tabs>
          <w:tab w:val="left" w:pos="5677"/>
        </w:tabs>
        <w:jc w:val="both"/>
        <w:rPr>
          <w:b/>
          <w:sz w:val="22"/>
          <w:szCs w:val="22"/>
        </w:rPr>
      </w:pPr>
      <w:r>
        <w:rPr>
          <w:b/>
          <w:sz w:val="22"/>
          <w:szCs w:val="22"/>
        </w:rPr>
        <w:t>JUAN BAENA MERLANO                                 RICARDO CORREA MOJICA</w:t>
      </w:r>
    </w:p>
    <w:p w:rsidR="00EE6C6A" w:rsidRDefault="00317F1B">
      <w:pPr>
        <w:pBdr>
          <w:top w:val="nil"/>
          <w:left w:val="nil"/>
          <w:bottom w:val="nil"/>
          <w:right w:val="nil"/>
          <w:between w:val="nil"/>
        </w:pBdr>
        <w:tabs>
          <w:tab w:val="left" w:pos="5677"/>
        </w:tabs>
        <w:jc w:val="both"/>
        <w:rPr>
          <w:sz w:val="22"/>
          <w:szCs w:val="22"/>
        </w:rPr>
      </w:pPr>
      <w:r>
        <w:rPr>
          <w:sz w:val="22"/>
          <w:szCs w:val="22"/>
        </w:rPr>
        <w:t>Concejal de Bogotá                                            Concejal de Bogotá</w:t>
      </w:r>
    </w:p>
    <w:p w:rsidR="00EE6C6A" w:rsidRDefault="00317F1B">
      <w:pPr>
        <w:pBdr>
          <w:top w:val="nil"/>
          <w:left w:val="nil"/>
          <w:bottom w:val="nil"/>
          <w:right w:val="nil"/>
          <w:between w:val="nil"/>
        </w:pBdr>
        <w:tabs>
          <w:tab w:val="left" w:pos="5677"/>
        </w:tabs>
        <w:jc w:val="both"/>
        <w:rPr>
          <w:sz w:val="22"/>
          <w:szCs w:val="22"/>
        </w:rPr>
      </w:pPr>
      <w:r>
        <w:rPr>
          <w:sz w:val="22"/>
          <w:szCs w:val="22"/>
        </w:rPr>
        <w:t>Partido Nuevo Liberalismo                                 Partido Nuevo Liberalismo</w:t>
      </w:r>
    </w:p>
    <w:p w:rsidR="00EE6C6A" w:rsidRDefault="00EE6C6A">
      <w:pPr>
        <w:pBdr>
          <w:top w:val="nil"/>
          <w:left w:val="nil"/>
          <w:bottom w:val="nil"/>
          <w:right w:val="nil"/>
          <w:between w:val="nil"/>
        </w:pBdr>
        <w:jc w:val="both"/>
        <w:rPr>
          <w:sz w:val="22"/>
          <w:szCs w:val="22"/>
        </w:rPr>
      </w:pPr>
    </w:p>
    <w:p w:rsidR="00EE6C6A" w:rsidRDefault="00EE6C6A">
      <w:pPr>
        <w:pBdr>
          <w:top w:val="nil"/>
          <w:left w:val="nil"/>
          <w:bottom w:val="nil"/>
          <w:right w:val="nil"/>
          <w:between w:val="nil"/>
        </w:pBdr>
        <w:jc w:val="both"/>
        <w:rPr>
          <w:sz w:val="22"/>
          <w:szCs w:val="22"/>
        </w:rPr>
      </w:pPr>
    </w:p>
    <w:p w:rsidR="00EE6C6A" w:rsidRDefault="00317F1B">
      <w:pPr>
        <w:pBdr>
          <w:top w:val="nil"/>
          <w:left w:val="nil"/>
          <w:bottom w:val="nil"/>
          <w:right w:val="nil"/>
          <w:between w:val="nil"/>
        </w:pBdr>
        <w:tabs>
          <w:tab w:val="left" w:pos="4980"/>
        </w:tabs>
        <w:ind w:right="1097"/>
        <w:jc w:val="both"/>
        <w:rPr>
          <w:b/>
          <w:sz w:val="22"/>
          <w:szCs w:val="22"/>
        </w:rPr>
      </w:pPr>
      <w:r>
        <w:rPr>
          <w:b/>
          <w:sz w:val="22"/>
          <w:szCs w:val="22"/>
        </w:rPr>
        <w:t xml:space="preserve">JESÚS DAVID ARAQUE MEJÍA                        JUAN MANUEL DÍAZ </w:t>
      </w:r>
    </w:p>
    <w:p w:rsidR="00EE6C6A" w:rsidRDefault="00317F1B">
      <w:pPr>
        <w:pBdr>
          <w:top w:val="nil"/>
          <w:left w:val="nil"/>
          <w:bottom w:val="nil"/>
          <w:right w:val="nil"/>
          <w:between w:val="nil"/>
        </w:pBdr>
        <w:tabs>
          <w:tab w:val="left" w:pos="5600"/>
        </w:tabs>
        <w:jc w:val="both"/>
        <w:rPr>
          <w:sz w:val="22"/>
          <w:szCs w:val="22"/>
        </w:rPr>
      </w:pPr>
      <w:r>
        <w:rPr>
          <w:sz w:val="22"/>
          <w:szCs w:val="22"/>
        </w:rPr>
        <w:t>Concejal de Bogotá                                             Concejal de Bogotá</w:t>
      </w:r>
    </w:p>
    <w:p w:rsidR="00EE6C6A" w:rsidRDefault="00317F1B">
      <w:pPr>
        <w:pBdr>
          <w:top w:val="nil"/>
          <w:left w:val="nil"/>
          <w:bottom w:val="nil"/>
          <w:right w:val="nil"/>
          <w:between w:val="nil"/>
        </w:pBdr>
        <w:tabs>
          <w:tab w:val="left" w:pos="5600"/>
        </w:tabs>
        <w:jc w:val="both"/>
        <w:rPr>
          <w:sz w:val="22"/>
          <w:szCs w:val="22"/>
        </w:rPr>
      </w:pPr>
      <w:r>
        <w:rPr>
          <w:sz w:val="22"/>
          <w:szCs w:val="22"/>
        </w:rPr>
        <w:t>Partido Nuevo Liberalismo                                  Partido Nuevo Liberalismo</w:t>
      </w:r>
    </w:p>
    <w:p w:rsidR="00EE6C6A" w:rsidRDefault="00EE6C6A">
      <w:pPr>
        <w:pBdr>
          <w:top w:val="nil"/>
          <w:left w:val="nil"/>
          <w:bottom w:val="nil"/>
          <w:right w:val="nil"/>
          <w:between w:val="nil"/>
        </w:pBdr>
        <w:jc w:val="both"/>
        <w:rPr>
          <w:sz w:val="22"/>
          <w:szCs w:val="22"/>
        </w:rPr>
      </w:pPr>
    </w:p>
    <w:p w:rsidR="00EE6C6A" w:rsidRDefault="00EE6C6A">
      <w:pPr>
        <w:jc w:val="both"/>
        <w:rPr>
          <w:b/>
          <w:i/>
          <w:color w:val="000000"/>
          <w:sz w:val="22"/>
          <w:szCs w:val="22"/>
        </w:rPr>
      </w:pPr>
    </w:p>
    <w:p w:rsidR="00EE6C6A" w:rsidRDefault="00EE6C6A">
      <w:pPr>
        <w:jc w:val="center"/>
        <w:rPr>
          <w:b/>
        </w:rPr>
      </w:pPr>
    </w:p>
    <w:p w:rsidR="00EE6C6A" w:rsidRDefault="00EE6C6A">
      <w:pPr>
        <w:jc w:val="center"/>
        <w:rPr>
          <w:b/>
        </w:rPr>
      </w:pPr>
    </w:p>
    <w:p w:rsidR="00EE6C6A" w:rsidRDefault="00317F1B">
      <w:pPr>
        <w:jc w:val="center"/>
        <w:rPr>
          <w:b/>
          <w:sz w:val="22"/>
          <w:szCs w:val="22"/>
        </w:rPr>
      </w:pPr>
      <w:r>
        <w:rPr>
          <w:b/>
          <w:sz w:val="22"/>
          <w:szCs w:val="22"/>
        </w:rPr>
        <w:lastRenderedPageBreak/>
        <w:t xml:space="preserve">PROYECTO DE ACUERDO N° </w:t>
      </w:r>
      <w:r w:rsidR="00F102DC">
        <w:rPr>
          <w:b/>
          <w:sz w:val="22"/>
          <w:szCs w:val="22"/>
        </w:rPr>
        <w:t xml:space="preserve">991 </w:t>
      </w:r>
      <w:r>
        <w:rPr>
          <w:b/>
          <w:sz w:val="22"/>
          <w:szCs w:val="22"/>
        </w:rPr>
        <w:t>DE 2025</w:t>
      </w:r>
    </w:p>
    <w:p w:rsidR="00FC1FE4" w:rsidRPr="00DE2E33" w:rsidRDefault="00FC1FE4">
      <w:pPr>
        <w:jc w:val="center"/>
        <w:rPr>
          <w:b/>
        </w:rPr>
      </w:pPr>
      <w:bookmarkStart w:id="0" w:name="_GoBack"/>
    </w:p>
    <w:p w:rsidR="00EE6C6A" w:rsidRPr="00DE2E33" w:rsidRDefault="00DE2E33">
      <w:pPr>
        <w:jc w:val="center"/>
        <w:rPr>
          <w:b/>
          <w:sz w:val="22"/>
          <w:szCs w:val="22"/>
        </w:rPr>
      </w:pPr>
      <w:r w:rsidRPr="00DE2E33">
        <w:rPr>
          <w:b/>
        </w:rPr>
        <w:t>“</w:t>
      </w:r>
      <w:r w:rsidRPr="00DE2E33">
        <w:rPr>
          <w:b/>
          <w:sz w:val="22"/>
          <w:szCs w:val="22"/>
        </w:rPr>
        <w:t>POR MEDIO DEL CUAL SE ESTABLECEN LINEAMIENTOS DE SEGURIDAD CIUDADANA EN LA MOVILIDAD INTERMEDIADA POR PLATAFORMAS DIGITALES EN BOGOTÁ D.C. Y SE DICTAN OTRAS DISPOSICIONES”</w:t>
      </w:r>
    </w:p>
    <w:p w:rsidR="00EE6C6A" w:rsidRPr="00DE2E33" w:rsidRDefault="00EE6C6A">
      <w:pPr>
        <w:pBdr>
          <w:top w:val="nil"/>
          <w:left w:val="nil"/>
          <w:bottom w:val="nil"/>
          <w:right w:val="nil"/>
          <w:between w:val="nil"/>
        </w:pBdr>
        <w:jc w:val="both"/>
        <w:rPr>
          <w:b/>
        </w:rPr>
      </w:pPr>
    </w:p>
    <w:bookmarkEnd w:id="0"/>
    <w:p w:rsidR="00EE6C6A" w:rsidRDefault="00317F1B">
      <w:pPr>
        <w:ind w:left="360"/>
        <w:jc w:val="both"/>
        <w:rPr>
          <w:b/>
        </w:rPr>
      </w:pPr>
      <w:r>
        <w:rPr>
          <w:b/>
        </w:rPr>
        <w:t>EXPOSICIÓN DE MOTIVOS</w:t>
      </w:r>
    </w:p>
    <w:p w:rsidR="00EE6C6A" w:rsidRDefault="00EE6C6A">
      <w:pPr>
        <w:ind w:left="360"/>
        <w:jc w:val="both"/>
        <w:rPr>
          <w:b/>
        </w:rPr>
      </w:pPr>
    </w:p>
    <w:p w:rsidR="00EE6C6A" w:rsidRDefault="00317F1B">
      <w:pPr>
        <w:numPr>
          <w:ilvl w:val="0"/>
          <w:numId w:val="7"/>
        </w:numPr>
        <w:pBdr>
          <w:top w:val="nil"/>
          <w:left w:val="nil"/>
          <w:bottom w:val="nil"/>
          <w:right w:val="nil"/>
          <w:between w:val="nil"/>
        </w:pBdr>
        <w:jc w:val="both"/>
        <w:rPr>
          <w:color w:val="000000"/>
          <w:sz w:val="22"/>
          <w:szCs w:val="22"/>
        </w:rPr>
      </w:pPr>
      <w:r>
        <w:rPr>
          <w:b/>
          <w:color w:val="000000"/>
          <w:sz w:val="22"/>
          <w:szCs w:val="22"/>
        </w:rPr>
        <w:t>OBJETO DEL PROYECTO DE ACUERDO</w:t>
      </w:r>
    </w:p>
    <w:p w:rsidR="00EE6C6A" w:rsidRDefault="00EE6C6A">
      <w:pPr>
        <w:ind w:left="600"/>
        <w:jc w:val="both"/>
        <w:rPr>
          <w:sz w:val="22"/>
          <w:szCs w:val="22"/>
        </w:rPr>
      </w:pPr>
    </w:p>
    <w:p w:rsidR="00EE6C6A" w:rsidRDefault="00317F1B">
      <w:pPr>
        <w:pStyle w:val="Ttulo3"/>
        <w:keepNext w:val="0"/>
        <w:keepLines w:val="0"/>
        <w:tabs>
          <w:tab w:val="left" w:pos="3576"/>
          <w:tab w:val="left" w:pos="5617"/>
        </w:tabs>
        <w:spacing w:before="0"/>
        <w:ind w:left="360"/>
        <w:jc w:val="both"/>
        <w:rPr>
          <w:rFonts w:ascii="Arial" w:eastAsia="Arial" w:hAnsi="Arial" w:cs="Arial"/>
          <w:b/>
          <w:color w:val="000000"/>
          <w:sz w:val="22"/>
          <w:szCs w:val="22"/>
        </w:rPr>
      </w:pPr>
      <w:bookmarkStart w:id="1" w:name="_heading=h.lwru68yyuy2c" w:colFirst="0" w:colLast="0"/>
      <w:bookmarkEnd w:id="1"/>
      <w:r>
        <w:rPr>
          <w:rFonts w:ascii="Arial" w:eastAsia="Arial" w:hAnsi="Arial" w:cs="Arial"/>
          <w:color w:val="000000"/>
          <w:sz w:val="22"/>
          <w:szCs w:val="22"/>
        </w:rPr>
        <w:t>Establecer lineamientos distritales que fortalezcan y consoliden la seguridad de usuarios y conductores en los servicios de movilidad intermediados por plataformas digitales actuales, mediante la articulación institucional, la implementación de protocolos de prevención y respuesta, y el aprovechamiento de herramientas tecnológicas, en coherencia con el Plan de Desarrollo “</w:t>
      </w:r>
      <w:r>
        <w:rPr>
          <w:rFonts w:ascii="Arial" w:eastAsia="Arial" w:hAnsi="Arial" w:cs="Arial"/>
          <w:i/>
          <w:color w:val="000000"/>
          <w:sz w:val="22"/>
          <w:szCs w:val="22"/>
        </w:rPr>
        <w:t>Bogotá Camina Segura”</w:t>
      </w:r>
      <w:r>
        <w:rPr>
          <w:rFonts w:ascii="Arial" w:eastAsia="Arial" w:hAnsi="Arial" w:cs="Arial"/>
          <w:color w:val="000000"/>
          <w:sz w:val="22"/>
          <w:szCs w:val="22"/>
        </w:rPr>
        <w:t xml:space="preserve"> y la legislación y normatividad vigente.</w:t>
      </w:r>
    </w:p>
    <w:p w:rsidR="00EE6C6A" w:rsidRDefault="00EE6C6A">
      <w:pPr>
        <w:pStyle w:val="Ttulo3"/>
        <w:keepNext w:val="0"/>
        <w:keepLines w:val="0"/>
        <w:tabs>
          <w:tab w:val="left" w:pos="3576"/>
          <w:tab w:val="left" w:pos="5617"/>
        </w:tabs>
        <w:spacing w:before="0"/>
        <w:ind w:left="360"/>
        <w:jc w:val="both"/>
        <w:rPr>
          <w:rFonts w:ascii="Arial" w:eastAsia="Arial" w:hAnsi="Arial" w:cs="Arial"/>
          <w:color w:val="000000"/>
          <w:sz w:val="22"/>
          <w:szCs w:val="22"/>
        </w:rPr>
      </w:pPr>
      <w:bookmarkStart w:id="2" w:name="_heading=h.mvxx8fwk4s0j" w:colFirst="0" w:colLast="0"/>
      <w:bookmarkEnd w:id="2"/>
    </w:p>
    <w:p w:rsidR="00EE6C6A" w:rsidRDefault="00317F1B">
      <w:pPr>
        <w:pStyle w:val="Ttulo3"/>
        <w:keepNext w:val="0"/>
        <w:keepLines w:val="0"/>
        <w:tabs>
          <w:tab w:val="left" w:pos="3576"/>
          <w:tab w:val="left" w:pos="5617"/>
        </w:tabs>
        <w:spacing w:before="0"/>
        <w:ind w:left="360"/>
        <w:jc w:val="both"/>
        <w:rPr>
          <w:rFonts w:ascii="Arial" w:eastAsia="Arial" w:hAnsi="Arial" w:cs="Arial"/>
          <w:b/>
          <w:color w:val="000000"/>
          <w:sz w:val="22"/>
          <w:szCs w:val="22"/>
        </w:rPr>
      </w:pPr>
      <w:bookmarkStart w:id="3" w:name="_heading=h.a2z9fnx9iewn" w:colFirst="0" w:colLast="0"/>
      <w:bookmarkEnd w:id="3"/>
      <w:r>
        <w:rPr>
          <w:rFonts w:ascii="Arial" w:eastAsia="Arial" w:hAnsi="Arial" w:cs="Arial"/>
          <w:b/>
          <w:color w:val="000000"/>
          <w:sz w:val="22"/>
          <w:szCs w:val="22"/>
        </w:rPr>
        <w:t>2. JUSTIFICACIÓN Y ANÁLISIS DE CONVENIENCIA DEL PROYECTO DE ACUERDO</w:t>
      </w:r>
    </w:p>
    <w:p w:rsidR="00EE6C6A" w:rsidRDefault="00EE6C6A">
      <w:pPr>
        <w:tabs>
          <w:tab w:val="left" w:pos="1079"/>
        </w:tabs>
        <w:ind w:left="360"/>
        <w:jc w:val="both"/>
        <w:rPr>
          <w:color w:val="000000"/>
          <w:sz w:val="22"/>
          <w:szCs w:val="22"/>
        </w:rPr>
      </w:pPr>
    </w:p>
    <w:p w:rsidR="00EE6C6A" w:rsidRDefault="00317F1B">
      <w:pPr>
        <w:tabs>
          <w:tab w:val="left" w:pos="1079"/>
        </w:tabs>
        <w:ind w:left="360"/>
        <w:jc w:val="both"/>
        <w:rPr>
          <w:color w:val="000000"/>
          <w:sz w:val="22"/>
          <w:szCs w:val="22"/>
        </w:rPr>
      </w:pPr>
      <w:r>
        <w:rPr>
          <w:color w:val="000000"/>
          <w:sz w:val="22"/>
          <w:szCs w:val="22"/>
        </w:rPr>
        <w:t>Bogotá atraviesa una coyuntura crítica en materia de seguridad urbana. Los indicadores muestran un incremento en homicidios, hurtos, extorsiones y fraudes digitales que afectan directamente a conductores y usuarios de plataformas de movilidad, entre otros. Esta problemática se agrava por la ausencia de regulación nacional integral sobre servicios intermediados por aplicaciones distintas al taxi o servicio público individual, lo cual genera vacíos de protección y limita la capacidad de las autoridades distritales para responder de manera efectiva.</w:t>
      </w:r>
    </w:p>
    <w:p w:rsidR="00EE6C6A" w:rsidRDefault="00EE6C6A">
      <w:pPr>
        <w:tabs>
          <w:tab w:val="left" w:pos="1079"/>
        </w:tabs>
        <w:ind w:left="360"/>
        <w:jc w:val="both"/>
        <w:rPr>
          <w:sz w:val="22"/>
          <w:szCs w:val="22"/>
        </w:rPr>
      </w:pPr>
    </w:p>
    <w:p w:rsidR="00EE6C6A" w:rsidRDefault="00317F1B">
      <w:pPr>
        <w:tabs>
          <w:tab w:val="left" w:pos="1079"/>
        </w:tabs>
        <w:ind w:left="360"/>
        <w:jc w:val="both"/>
        <w:rPr>
          <w:sz w:val="22"/>
          <w:szCs w:val="22"/>
        </w:rPr>
      </w:pPr>
      <w:r>
        <w:rPr>
          <w:sz w:val="22"/>
          <w:szCs w:val="22"/>
        </w:rPr>
        <w:t xml:space="preserve">Las dinámicas de urbanización y crecimiento de Bogotá hacen necesario abordar los desafíos de seguridad en las plataformas digitales de movilidad. La alta demanda de servicios de movilidad, la fragmentación de estas opciones y el contexto general de inseguridad en la ciudad generan riesgos que requieren estrategias específicas para proteger a quienes usan y operan estos servicios. Entre los principales desafíos se encuentran: situaciones de riesgo y delitos dentro de vehículos registrados en plataformas digitales, que requieren mejores mecanismos de prevención y atención articulando la comunicación e interlocución entre las empresas de plataformas digitales y las centrales de emergencia de la ciudad o autoridades de policía; Mejora en los procesos de información entre autoridades competentes a las plataformas digitales; dificultades en la identificación y trazabilidad de usuarios conductores y usuarios pasajeros, lo que limita la capacidad de respuesta ante incidentes y dificulta la </w:t>
      </w:r>
      <w:r>
        <w:rPr>
          <w:sz w:val="22"/>
          <w:szCs w:val="22"/>
        </w:rPr>
        <w:lastRenderedPageBreak/>
        <w:t>construcción de un entorno seguro para ambas partes; falta de conocimiento sobre protocolos de seguridad, tanto por parte de usuarios como de conductores, lo que puede aumentar la vulnerabilidad en situaciones de emergencia; deficiencia en herramientas de respuesta rápida ante incidentes, dificultando la articulación con las autoridades y la activación de medidas de protección efectivas; entre otros.</w:t>
      </w:r>
    </w:p>
    <w:p w:rsidR="00EE6C6A" w:rsidRDefault="00EE6C6A">
      <w:pPr>
        <w:tabs>
          <w:tab w:val="left" w:pos="1079"/>
        </w:tabs>
        <w:ind w:left="360"/>
        <w:jc w:val="both"/>
        <w:rPr>
          <w:sz w:val="22"/>
          <w:szCs w:val="22"/>
        </w:rPr>
      </w:pPr>
    </w:p>
    <w:p w:rsidR="00EE6C6A" w:rsidRDefault="00317F1B">
      <w:pPr>
        <w:tabs>
          <w:tab w:val="left" w:pos="1079"/>
        </w:tabs>
        <w:ind w:left="360"/>
        <w:jc w:val="both"/>
        <w:rPr>
          <w:sz w:val="22"/>
          <w:szCs w:val="22"/>
        </w:rPr>
      </w:pPr>
      <w:r>
        <w:rPr>
          <w:sz w:val="22"/>
          <w:szCs w:val="22"/>
        </w:rPr>
        <w:t>Además, el uso de plataformas digitales es creciente: más del 78%de los bogotanos las considera útiles para sus desplazamientos.</w:t>
      </w:r>
      <w:r>
        <w:rPr>
          <w:sz w:val="22"/>
          <w:szCs w:val="22"/>
          <w:vertAlign w:val="superscript"/>
        </w:rPr>
        <w:footnoteReference w:id="1"/>
      </w:r>
      <w:r>
        <w:rPr>
          <w:sz w:val="22"/>
          <w:szCs w:val="22"/>
        </w:rPr>
        <w:t xml:space="preserve"> En aras de solucionar las diferentes problemáticas planteadas se ha estado llevando a cabo una mesa de trabajo interinstitucional con las secretarías distritales de Movilidad, Seguridad y Desarrollo Económico, espacio donde se ha resaltado la urgencia de crear canales ágiles de comunicación con las aplicaciones, fortalecer la validación de identidades y adoptar tecnologías como botones de emergencia conectados al número de emergencia 123 y geolocalización en tiempo real.</w:t>
      </w:r>
    </w:p>
    <w:p w:rsidR="00EE6C6A" w:rsidRDefault="00EE6C6A">
      <w:pPr>
        <w:tabs>
          <w:tab w:val="left" w:pos="1079"/>
        </w:tabs>
        <w:ind w:left="360"/>
        <w:jc w:val="both"/>
      </w:pPr>
    </w:p>
    <w:p w:rsidR="00EE6C6A" w:rsidRDefault="00317F1B">
      <w:pPr>
        <w:tabs>
          <w:tab w:val="left" w:pos="1079"/>
        </w:tabs>
        <w:ind w:left="360"/>
        <w:jc w:val="both"/>
        <w:rPr>
          <w:sz w:val="22"/>
          <w:szCs w:val="22"/>
        </w:rPr>
      </w:pPr>
      <w:r>
        <w:rPr>
          <w:sz w:val="22"/>
          <w:szCs w:val="22"/>
        </w:rPr>
        <w:t>En el plano judicial, el Tribunal Administrativo de Cundinamarca (2025) reconoció que la falta de regulación específica sobre este tema constituye un vacío legal que compromete derechos colectivos como la seguridad, y exhortó a las entidades a adoptar medidas inmediatas de protección al consumidor (identificación de conductores, transparencia en precios y algoritmos, protección de datos). La Corte Suprema de Justicia (SC370-2023), por su parte, determinó que la economía colaborativa no puede considerarse ilegal en ausencia de ley expresa y que el acceso a los avances tecnológicos es un derecho humano que hace parte del bloque de constitucionalidad colombiano.</w:t>
      </w:r>
    </w:p>
    <w:p w:rsidR="00EE6C6A" w:rsidRDefault="00EE6C6A">
      <w:pPr>
        <w:tabs>
          <w:tab w:val="left" w:pos="1079"/>
        </w:tabs>
        <w:ind w:left="360"/>
        <w:jc w:val="both"/>
        <w:rPr>
          <w:sz w:val="22"/>
          <w:szCs w:val="22"/>
        </w:rPr>
      </w:pPr>
    </w:p>
    <w:p w:rsidR="00EE6C6A" w:rsidRDefault="00317F1B">
      <w:pPr>
        <w:tabs>
          <w:tab w:val="left" w:pos="1079"/>
        </w:tabs>
        <w:ind w:left="360"/>
        <w:jc w:val="both"/>
        <w:rPr>
          <w:sz w:val="22"/>
          <w:szCs w:val="22"/>
        </w:rPr>
      </w:pPr>
      <w:r>
        <w:rPr>
          <w:sz w:val="22"/>
          <w:szCs w:val="22"/>
        </w:rPr>
        <w:t>Desde el ámbito técnico y comparado, investigaciones recientes en redes vehiculares e ITS (</w:t>
      </w:r>
      <w:proofErr w:type="spellStart"/>
      <w:r>
        <w:rPr>
          <w:sz w:val="22"/>
          <w:szCs w:val="22"/>
        </w:rPr>
        <w:t>Intelligent</w:t>
      </w:r>
      <w:proofErr w:type="spellEnd"/>
      <w:r>
        <w:rPr>
          <w:sz w:val="22"/>
          <w:szCs w:val="22"/>
        </w:rPr>
        <w:t xml:space="preserve"> </w:t>
      </w:r>
      <w:proofErr w:type="spellStart"/>
      <w:r>
        <w:rPr>
          <w:sz w:val="22"/>
          <w:szCs w:val="22"/>
        </w:rPr>
        <w:t>Transportation</w:t>
      </w:r>
      <w:proofErr w:type="spellEnd"/>
      <w:r>
        <w:rPr>
          <w:sz w:val="22"/>
          <w:szCs w:val="22"/>
        </w:rPr>
        <w:t xml:space="preserve"> </w:t>
      </w:r>
      <w:proofErr w:type="spellStart"/>
      <w:r>
        <w:rPr>
          <w:sz w:val="22"/>
          <w:szCs w:val="22"/>
        </w:rPr>
        <w:t>Systems</w:t>
      </w:r>
      <w:proofErr w:type="spellEnd"/>
      <w:r>
        <w:rPr>
          <w:sz w:val="22"/>
          <w:szCs w:val="22"/>
        </w:rPr>
        <w:t xml:space="preserve">) han demostrado que la incorporación de estándares tecnológicos y protocolos de seguridad integrados (ej. </w:t>
      </w:r>
      <w:proofErr w:type="spellStart"/>
      <w:r>
        <w:rPr>
          <w:sz w:val="22"/>
          <w:szCs w:val="22"/>
        </w:rPr>
        <w:t>IPsec</w:t>
      </w:r>
      <w:proofErr w:type="spellEnd"/>
      <w:r>
        <w:rPr>
          <w:sz w:val="22"/>
          <w:szCs w:val="22"/>
        </w:rPr>
        <w:t xml:space="preserve">, IKEv2, </w:t>
      </w:r>
      <w:proofErr w:type="spellStart"/>
      <w:r>
        <w:rPr>
          <w:sz w:val="22"/>
          <w:szCs w:val="22"/>
        </w:rPr>
        <w:t>geocercas</w:t>
      </w:r>
      <w:proofErr w:type="spellEnd"/>
      <w:r>
        <w:rPr>
          <w:sz w:val="22"/>
          <w:szCs w:val="22"/>
        </w:rPr>
        <w:t xml:space="preserve"> y validación de datos) permite reducir riesgos, mejorar la confianza y optimizar la cooperación entre plataformas y autoridades. Experiencias internacionales, como las de Lima y otras capitales, confirman la utilidad de estándares de seguridad digital en movilidad (botones de pánico, geolocalización, trazabilidad de viajes).</w:t>
      </w:r>
    </w:p>
    <w:p w:rsidR="00EE6C6A" w:rsidRDefault="00EE6C6A">
      <w:pPr>
        <w:tabs>
          <w:tab w:val="left" w:pos="1079"/>
        </w:tabs>
        <w:ind w:left="360"/>
        <w:jc w:val="both"/>
        <w:rPr>
          <w:sz w:val="22"/>
          <w:szCs w:val="22"/>
        </w:rPr>
      </w:pPr>
    </w:p>
    <w:p w:rsidR="00EE6C6A" w:rsidRDefault="00317F1B">
      <w:pPr>
        <w:tabs>
          <w:tab w:val="left" w:pos="1079"/>
        </w:tabs>
        <w:ind w:left="360"/>
        <w:jc w:val="both"/>
        <w:rPr>
          <w:sz w:val="22"/>
          <w:szCs w:val="22"/>
        </w:rPr>
      </w:pPr>
      <w:r>
        <w:rPr>
          <w:sz w:val="22"/>
          <w:szCs w:val="22"/>
        </w:rPr>
        <w:t>En este mismo sentido, el Estudio de Seguridad en Aplicaciones de Transporte (</w:t>
      </w:r>
      <w:proofErr w:type="spellStart"/>
      <w:r>
        <w:rPr>
          <w:sz w:val="22"/>
          <w:szCs w:val="22"/>
        </w:rPr>
        <w:t>Szalaty</w:t>
      </w:r>
      <w:proofErr w:type="spellEnd"/>
      <w:r>
        <w:rPr>
          <w:sz w:val="22"/>
          <w:szCs w:val="22"/>
        </w:rPr>
        <w:t xml:space="preserve">, 2020) aporta evidencia sobre vulnerabilidades críticas en tecnologías de uso frecuente como NFC y códigos QR. Se han identificado ataques de clonación de tarjetas MIFARE </w:t>
      </w:r>
      <w:proofErr w:type="spellStart"/>
      <w:r>
        <w:rPr>
          <w:sz w:val="22"/>
          <w:szCs w:val="22"/>
        </w:rPr>
        <w:t>Classic</w:t>
      </w:r>
      <w:proofErr w:type="spellEnd"/>
      <w:r>
        <w:rPr>
          <w:sz w:val="22"/>
          <w:szCs w:val="22"/>
        </w:rPr>
        <w:t xml:space="preserve"> cuando mantienen claves por defecto, espionaje de transacciones (</w:t>
      </w:r>
      <w:proofErr w:type="spellStart"/>
      <w:r>
        <w:rPr>
          <w:sz w:val="22"/>
          <w:szCs w:val="22"/>
        </w:rPr>
        <w:t>eavesdropping</w:t>
      </w:r>
      <w:proofErr w:type="spellEnd"/>
      <w:r>
        <w:rPr>
          <w:sz w:val="22"/>
          <w:szCs w:val="22"/>
        </w:rPr>
        <w:t>), corrupción de datos, ataques de retransmisión (</w:t>
      </w:r>
      <w:proofErr w:type="spellStart"/>
      <w:r>
        <w:rPr>
          <w:sz w:val="22"/>
          <w:szCs w:val="22"/>
        </w:rPr>
        <w:t>relay</w:t>
      </w:r>
      <w:proofErr w:type="spellEnd"/>
      <w:r>
        <w:rPr>
          <w:sz w:val="22"/>
          <w:szCs w:val="22"/>
        </w:rPr>
        <w:t xml:space="preserve"> </w:t>
      </w:r>
      <w:proofErr w:type="spellStart"/>
      <w:r>
        <w:rPr>
          <w:sz w:val="22"/>
          <w:szCs w:val="22"/>
        </w:rPr>
        <w:t>attacks</w:t>
      </w:r>
      <w:proofErr w:type="spellEnd"/>
      <w:r>
        <w:rPr>
          <w:sz w:val="22"/>
          <w:szCs w:val="22"/>
        </w:rPr>
        <w:t xml:space="preserve">) y manipulación o reutilización de códigos QR. Estos riesgos comprometen no solo la </w:t>
      </w:r>
      <w:r>
        <w:rPr>
          <w:sz w:val="22"/>
          <w:szCs w:val="22"/>
        </w:rPr>
        <w:lastRenderedPageBreak/>
        <w:t>seguridad del viaje, sino también la protección de datos personales y la integridad de los sistemas de pago asociados. El estudio recomienda contramedidas concretas: cifrado de extremo a extremo, uso de firmas digitales, identificadores aleatorios de un solo uso, validación en tiempo real y auditorías periódicas de seguridad. Incorporar estas medidas como lineamientos locales fortalece la confianza en el servicio y reduce la exposición de los usuarios a fraudes o ataques digitales.</w:t>
      </w:r>
    </w:p>
    <w:p w:rsidR="00EE6C6A" w:rsidRDefault="00EE6C6A">
      <w:pPr>
        <w:tabs>
          <w:tab w:val="left" w:pos="1079"/>
        </w:tabs>
        <w:jc w:val="both"/>
        <w:rPr>
          <w:sz w:val="22"/>
          <w:szCs w:val="22"/>
        </w:rPr>
      </w:pPr>
    </w:p>
    <w:p w:rsidR="00EE6C6A" w:rsidRDefault="00317F1B">
      <w:pPr>
        <w:tabs>
          <w:tab w:val="left" w:pos="1079"/>
        </w:tabs>
        <w:ind w:left="360"/>
        <w:jc w:val="both"/>
        <w:rPr>
          <w:sz w:val="22"/>
          <w:szCs w:val="22"/>
        </w:rPr>
      </w:pPr>
      <w:r>
        <w:rPr>
          <w:sz w:val="22"/>
          <w:szCs w:val="22"/>
        </w:rPr>
        <w:t>Asimismo, el documento “Movilidad y planeamiento sostenible” (Sánchez, 2006) recuerda que la movilidad debe analizarse como un sistema integral de planificación urbana, donde confluyen seguridad, sostenibilidad ambiental y cohesión social. La obra enfatiza que las decisiones en transporte no pueden reducirse a la infraestructura o a la mera prestación del servicio, sino que deben integrar objetivos de equidad, reducción de externalidades negativas (como congestión, contaminación y accidentalidad) y protección de derechos colectivos. Bajo esta óptica, los lineamientos de seguridad en la movilidad digital no son solo un complemento técnico, sino un componente esencial de una estrategia urbana sostenible que garantice confianza en el espacio público y resiliencia social.</w:t>
      </w:r>
    </w:p>
    <w:p w:rsidR="00EE6C6A" w:rsidRDefault="00EE6C6A">
      <w:pPr>
        <w:tabs>
          <w:tab w:val="left" w:pos="1079"/>
        </w:tabs>
        <w:jc w:val="both"/>
        <w:rPr>
          <w:sz w:val="22"/>
          <w:szCs w:val="22"/>
        </w:rPr>
      </w:pPr>
    </w:p>
    <w:p w:rsidR="00EE6C6A" w:rsidRDefault="00317F1B">
      <w:pPr>
        <w:tabs>
          <w:tab w:val="left" w:pos="1079"/>
        </w:tabs>
        <w:jc w:val="both"/>
        <w:rPr>
          <w:sz w:val="22"/>
          <w:szCs w:val="22"/>
        </w:rPr>
      </w:pPr>
      <w:r>
        <w:rPr>
          <w:sz w:val="22"/>
          <w:szCs w:val="22"/>
        </w:rPr>
        <w:t>En consecuencia, este proyecto resulta conveniente porque:</w:t>
      </w:r>
    </w:p>
    <w:p w:rsidR="00EE6C6A" w:rsidRDefault="00EE6C6A">
      <w:pPr>
        <w:tabs>
          <w:tab w:val="left" w:pos="1079"/>
        </w:tabs>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 xml:space="preserve">Atiende un vacío legal reconocido por los jueces, generando medidas locales de seguridad que no implican regulación del transporte, por fuera de las competencias constitucionales y legales del Cabildo Distrital. </w:t>
      </w:r>
    </w:p>
    <w:p w:rsidR="00EE6C6A" w:rsidRDefault="00EE6C6A">
      <w:pPr>
        <w:tabs>
          <w:tab w:val="left" w:pos="1079"/>
        </w:tabs>
        <w:ind w:left="720"/>
        <w:jc w:val="both"/>
      </w:pPr>
    </w:p>
    <w:p w:rsidR="00EE6C6A" w:rsidRDefault="00317F1B">
      <w:pPr>
        <w:widowControl w:val="0"/>
        <w:numPr>
          <w:ilvl w:val="0"/>
          <w:numId w:val="6"/>
        </w:numPr>
        <w:tabs>
          <w:tab w:val="left" w:pos="1079"/>
        </w:tabs>
        <w:jc w:val="both"/>
        <w:rPr>
          <w:sz w:val="22"/>
          <w:szCs w:val="22"/>
        </w:rPr>
      </w:pPr>
      <w:r>
        <w:rPr>
          <w:sz w:val="22"/>
          <w:szCs w:val="22"/>
        </w:rPr>
        <w:t>Responde a la alta demanda social por servicios seguros y confiables.</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Fortalece la interoperabilidad entre plataformas y entidades distritales en la atención de incidentes.</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Promueve el uso de tecnologías probadas en otros contextos (geolocalización, IA, botones de emergencia, cifrado digital) para la protección ciudadana.</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Incorpora contramedidas técnicas frente a vulnerabilidades específicas de NFC y QR, lo que blinda el servicio frente a fraudes electrónicos.</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Reconoce la corresponsabilidad de las plataformas como actores que ejercen control sobre la actividad y, por ende, deben responder en clave de responsabilidad civil.</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 xml:space="preserve">Inserta la seguridad digital en una visión más amplia de movilidad sostenible y urbana, alineada con la reducción de externalidades negativas y la protección de </w:t>
      </w:r>
      <w:r>
        <w:rPr>
          <w:sz w:val="22"/>
          <w:szCs w:val="22"/>
        </w:rPr>
        <w:lastRenderedPageBreak/>
        <w:t>derechos colectivos.</w:t>
      </w:r>
    </w:p>
    <w:p w:rsidR="00EE6C6A" w:rsidRDefault="00EE6C6A">
      <w:pPr>
        <w:tabs>
          <w:tab w:val="left" w:pos="1079"/>
        </w:tabs>
        <w:ind w:left="720"/>
        <w:jc w:val="both"/>
        <w:rPr>
          <w:sz w:val="22"/>
          <w:szCs w:val="22"/>
        </w:rPr>
      </w:pPr>
    </w:p>
    <w:p w:rsidR="00EE6C6A" w:rsidRDefault="00317F1B">
      <w:pPr>
        <w:widowControl w:val="0"/>
        <w:numPr>
          <w:ilvl w:val="0"/>
          <w:numId w:val="6"/>
        </w:numPr>
        <w:tabs>
          <w:tab w:val="left" w:pos="1079"/>
        </w:tabs>
        <w:jc w:val="both"/>
        <w:rPr>
          <w:sz w:val="22"/>
          <w:szCs w:val="22"/>
        </w:rPr>
      </w:pPr>
      <w:r>
        <w:rPr>
          <w:sz w:val="22"/>
          <w:szCs w:val="22"/>
        </w:rPr>
        <w:t>Responde al llamado académico sobre la falta de regulación estatal, mitigando riesgos de autorregulación y competencia desleal en el transporte.</w:t>
      </w:r>
    </w:p>
    <w:p w:rsidR="00EE6C6A" w:rsidRDefault="00EE6C6A">
      <w:pPr>
        <w:tabs>
          <w:tab w:val="left" w:pos="1079"/>
        </w:tabs>
        <w:ind w:left="720"/>
        <w:jc w:val="both"/>
        <w:rPr>
          <w:sz w:val="22"/>
          <w:szCs w:val="22"/>
        </w:rPr>
      </w:pPr>
    </w:p>
    <w:p w:rsidR="00EE6C6A" w:rsidRDefault="00EE6C6A">
      <w:pPr>
        <w:tabs>
          <w:tab w:val="left" w:pos="1079"/>
        </w:tabs>
        <w:ind w:left="720"/>
        <w:jc w:val="both"/>
        <w:rPr>
          <w:sz w:val="22"/>
          <w:szCs w:val="22"/>
        </w:rPr>
      </w:pPr>
    </w:p>
    <w:p w:rsidR="00EE6C6A" w:rsidRDefault="00317F1B">
      <w:pPr>
        <w:tabs>
          <w:tab w:val="left" w:pos="1079"/>
        </w:tabs>
        <w:ind w:left="360"/>
        <w:jc w:val="both"/>
        <w:rPr>
          <w:b/>
          <w:sz w:val="22"/>
          <w:szCs w:val="22"/>
        </w:rPr>
      </w:pPr>
      <w:r>
        <w:rPr>
          <w:b/>
          <w:sz w:val="22"/>
          <w:szCs w:val="22"/>
        </w:rPr>
        <w:t>3. CONTEXTO Y DERECHO COMPARADO</w:t>
      </w:r>
    </w:p>
    <w:p w:rsidR="00EE6C6A" w:rsidRDefault="00EE6C6A">
      <w:pPr>
        <w:ind w:left="360"/>
        <w:jc w:val="both"/>
        <w:rPr>
          <w:sz w:val="22"/>
          <w:szCs w:val="22"/>
        </w:rPr>
      </w:pPr>
    </w:p>
    <w:p w:rsidR="00EE6C6A" w:rsidRDefault="00317F1B">
      <w:pPr>
        <w:ind w:left="360"/>
        <w:jc w:val="both"/>
        <w:rPr>
          <w:sz w:val="22"/>
          <w:szCs w:val="22"/>
        </w:rPr>
      </w:pPr>
      <w:r>
        <w:rPr>
          <w:b/>
          <w:sz w:val="22"/>
          <w:szCs w:val="22"/>
        </w:rPr>
        <w:t>Internacional.</w:t>
      </w:r>
      <w:r>
        <w:rPr>
          <w:sz w:val="22"/>
          <w:szCs w:val="22"/>
        </w:rPr>
        <w:t xml:space="preserve"> Ciudades como Lima y otras capitales de la región han adoptado estándares de seguridad digital en la movilidad —como la geolocalización en tiempo real y los botones de emergencia conectados con autoridades locales—. De acuerdo con un estudio del Instituto Peruano de Economía (2023), el 64 % de los ciudadanos en Lima utiliza aplicaciones de movilidad por la sensación de mayor seguridad que ofrecen frente a medios tradicionales como los buses. Este dato evidencia que la seguridad en los servicios intermediados no solo protege a quienes los usan, sino que también se convierte en un componente estructural de las estrategias urbanas de seguridad ciudadana.</w:t>
      </w:r>
    </w:p>
    <w:p w:rsidR="00EE6C6A" w:rsidRDefault="00EE6C6A">
      <w:pPr>
        <w:ind w:left="360"/>
        <w:jc w:val="both"/>
        <w:rPr>
          <w:sz w:val="22"/>
          <w:szCs w:val="22"/>
        </w:rPr>
      </w:pPr>
    </w:p>
    <w:p w:rsidR="00EE6C6A" w:rsidRDefault="00317F1B">
      <w:pPr>
        <w:ind w:left="360"/>
        <w:jc w:val="both"/>
        <w:rPr>
          <w:sz w:val="22"/>
          <w:szCs w:val="22"/>
        </w:rPr>
      </w:pPr>
      <w:r>
        <w:rPr>
          <w:b/>
          <w:sz w:val="22"/>
          <w:szCs w:val="22"/>
        </w:rPr>
        <w:t>Nacional:</w:t>
      </w:r>
      <w:r>
        <w:rPr>
          <w:sz w:val="22"/>
          <w:szCs w:val="22"/>
        </w:rPr>
        <w:t xml:space="preserve"> La Corte Suprema y el Tribunal Administrativo de Cundinamarca han reconocido que las plataformas digitales no son ilegales en ausencia de regulación expresa y que en su uso se expresa el derecho humano a disfrutar de los avances científicos y tecnológicos, pero sí exigen medidas de protección de derechos y deberes de seguridad.</w:t>
      </w:r>
    </w:p>
    <w:p w:rsidR="00EE6C6A" w:rsidRDefault="00EE6C6A">
      <w:pPr>
        <w:ind w:left="360"/>
        <w:jc w:val="both"/>
        <w:rPr>
          <w:sz w:val="22"/>
          <w:szCs w:val="22"/>
        </w:rPr>
      </w:pPr>
    </w:p>
    <w:p w:rsidR="00EE6C6A" w:rsidRDefault="00317F1B">
      <w:pPr>
        <w:ind w:left="360"/>
        <w:jc w:val="both"/>
        <w:rPr>
          <w:b/>
          <w:sz w:val="22"/>
          <w:szCs w:val="22"/>
        </w:rPr>
      </w:pPr>
      <w:r>
        <w:rPr>
          <w:b/>
          <w:sz w:val="22"/>
          <w:szCs w:val="22"/>
        </w:rPr>
        <w:t>Distrital:</w:t>
      </w:r>
      <w:r>
        <w:rPr>
          <w:sz w:val="22"/>
          <w:szCs w:val="22"/>
        </w:rPr>
        <w:t xml:space="preserve"> Bogotá lidera implementaciones piloto de </w:t>
      </w:r>
      <w:proofErr w:type="spellStart"/>
      <w:r>
        <w:rPr>
          <w:sz w:val="22"/>
          <w:szCs w:val="22"/>
        </w:rPr>
        <w:t>geocercas</w:t>
      </w:r>
      <w:proofErr w:type="spellEnd"/>
      <w:r>
        <w:rPr>
          <w:sz w:val="22"/>
          <w:szCs w:val="22"/>
        </w:rPr>
        <w:t>, bloqueos preventivos y canales de comunicación con autoridades para atender investigaciones por hechos delictivos</w:t>
      </w:r>
      <w:r>
        <w:rPr>
          <w:sz w:val="22"/>
          <w:szCs w:val="22"/>
          <w:vertAlign w:val="superscript"/>
        </w:rPr>
        <w:footnoteReference w:id="2"/>
      </w:r>
      <w:r>
        <w:rPr>
          <w:sz w:val="22"/>
          <w:szCs w:val="22"/>
        </w:rPr>
        <w:t xml:space="preserve"> (ej. </w:t>
      </w:r>
      <w:proofErr w:type="spellStart"/>
      <w:r>
        <w:rPr>
          <w:sz w:val="22"/>
          <w:szCs w:val="22"/>
        </w:rPr>
        <w:t>DiDi</w:t>
      </w:r>
      <w:proofErr w:type="spellEnd"/>
      <w:r>
        <w:rPr>
          <w:sz w:val="22"/>
          <w:szCs w:val="22"/>
        </w:rPr>
        <w:t xml:space="preserve">, </w:t>
      </w:r>
      <w:proofErr w:type="spellStart"/>
      <w:r>
        <w:rPr>
          <w:sz w:val="22"/>
          <w:szCs w:val="22"/>
        </w:rPr>
        <w:t>InDrive</w:t>
      </w:r>
      <w:proofErr w:type="spellEnd"/>
      <w:r>
        <w:rPr>
          <w:sz w:val="22"/>
          <w:szCs w:val="22"/>
        </w:rPr>
        <w:t>), lo que demuestra la capacidad de las plataformas de contribuir a la seguridad ciudadana.</w:t>
      </w:r>
    </w:p>
    <w:p w:rsidR="00EE6C6A" w:rsidRDefault="00EE6C6A">
      <w:pPr>
        <w:ind w:left="360"/>
        <w:jc w:val="both"/>
        <w:rPr>
          <w:b/>
          <w:sz w:val="22"/>
          <w:szCs w:val="22"/>
        </w:rPr>
      </w:pPr>
    </w:p>
    <w:p w:rsidR="00EE6C6A" w:rsidRDefault="00317F1B">
      <w:pPr>
        <w:ind w:left="360"/>
        <w:jc w:val="both"/>
        <w:rPr>
          <w:b/>
          <w:sz w:val="22"/>
          <w:szCs w:val="22"/>
        </w:rPr>
      </w:pPr>
      <w:r>
        <w:rPr>
          <w:b/>
          <w:sz w:val="22"/>
          <w:szCs w:val="22"/>
        </w:rPr>
        <w:t>4. MARCO JURÍDICO DE LA INICIATIVA</w:t>
      </w:r>
    </w:p>
    <w:p w:rsidR="00EE6C6A" w:rsidRDefault="00EE6C6A">
      <w:pPr>
        <w:ind w:left="360"/>
        <w:jc w:val="both"/>
        <w:rPr>
          <w:b/>
          <w:sz w:val="22"/>
          <w:szCs w:val="22"/>
        </w:rPr>
      </w:pPr>
    </w:p>
    <w:p w:rsidR="00EE6C6A" w:rsidRDefault="00317F1B">
      <w:pPr>
        <w:pStyle w:val="Ttulo4"/>
        <w:keepNext w:val="0"/>
        <w:spacing w:before="0" w:after="0"/>
        <w:ind w:left="810" w:hanging="360"/>
        <w:jc w:val="both"/>
        <w:rPr>
          <w:rFonts w:ascii="Arial" w:eastAsia="Arial" w:hAnsi="Arial" w:cs="Arial"/>
          <w:sz w:val="22"/>
          <w:szCs w:val="22"/>
        </w:rPr>
      </w:pPr>
      <w:bookmarkStart w:id="4" w:name="_heading=h.8vkfpbrj19zz" w:colFirst="0" w:colLast="0"/>
      <w:bookmarkEnd w:id="4"/>
      <w:r>
        <w:rPr>
          <w:rFonts w:ascii="Arial" w:eastAsia="Arial" w:hAnsi="Arial" w:cs="Arial"/>
          <w:sz w:val="22"/>
          <w:szCs w:val="22"/>
        </w:rPr>
        <w:t>4.1 Constitución Política de Colombia</w:t>
      </w:r>
    </w:p>
    <w:p w:rsidR="00EE6C6A" w:rsidRDefault="00EE6C6A"/>
    <w:p w:rsidR="00EE6C6A" w:rsidRDefault="00317F1B">
      <w:pPr>
        <w:widowControl w:val="0"/>
        <w:numPr>
          <w:ilvl w:val="0"/>
          <w:numId w:val="5"/>
        </w:numPr>
        <w:jc w:val="both"/>
        <w:rPr>
          <w:sz w:val="22"/>
          <w:szCs w:val="22"/>
        </w:rPr>
      </w:pPr>
      <w:r>
        <w:rPr>
          <w:sz w:val="22"/>
          <w:szCs w:val="22"/>
        </w:rPr>
        <w:t xml:space="preserve">Artículo 2 de la Constitución Política de Colombia: Establece como fines esenciales del Estado servir a la comunidad, promover la prosperidad general y garantizar la efectividad de los principios, derechos y deberes consagrados en la Constitución. De manera expresa, impone a las autoridades la obligación de proteger a todas las </w:t>
      </w:r>
      <w:r>
        <w:rPr>
          <w:sz w:val="22"/>
          <w:szCs w:val="22"/>
        </w:rPr>
        <w:lastRenderedPageBreak/>
        <w:t>personas en su vida, honra, bienes, creencias y demás derechos y libertades, y de asegurar el cumplimiento de los deberes sociales del Estado y de los particulares.</w:t>
      </w:r>
    </w:p>
    <w:p w:rsidR="00EE6C6A" w:rsidRDefault="00EE6C6A">
      <w:pPr>
        <w:widowControl w:val="0"/>
        <w:ind w:left="720"/>
        <w:jc w:val="both"/>
        <w:rPr>
          <w:sz w:val="22"/>
          <w:szCs w:val="22"/>
        </w:rPr>
      </w:pPr>
    </w:p>
    <w:p w:rsidR="00EE6C6A" w:rsidRDefault="00317F1B">
      <w:pPr>
        <w:widowControl w:val="0"/>
        <w:numPr>
          <w:ilvl w:val="0"/>
          <w:numId w:val="5"/>
        </w:numPr>
        <w:jc w:val="both"/>
        <w:rPr>
          <w:sz w:val="22"/>
          <w:szCs w:val="22"/>
        </w:rPr>
      </w:pPr>
      <w:r>
        <w:rPr>
          <w:b/>
          <w:sz w:val="22"/>
          <w:szCs w:val="22"/>
        </w:rPr>
        <w:t>Artículo 24.</w:t>
      </w:r>
      <w:r>
        <w:rPr>
          <w:color w:val="333333"/>
          <w:sz w:val="22"/>
          <w:szCs w:val="22"/>
          <w:highlight w:val="white"/>
        </w:rPr>
        <w:t xml:space="preserve"> </w:t>
      </w:r>
      <w:r>
        <w:rPr>
          <w:sz w:val="22"/>
          <w:szCs w:val="22"/>
          <w:highlight w:val="white"/>
        </w:rPr>
        <w:t xml:space="preserve">Todo colombiano, con las limitaciones que establezca la ley, tiene derecho a circular libremente por el territorio nacional, a entrar y salir de él, y a permanecer y residenciarse en Colombia. </w:t>
      </w:r>
    </w:p>
    <w:p w:rsidR="00EE6C6A" w:rsidRDefault="00EE6C6A">
      <w:pPr>
        <w:ind w:left="720"/>
        <w:jc w:val="both"/>
        <w:rPr>
          <w:sz w:val="22"/>
          <w:szCs w:val="22"/>
        </w:rPr>
      </w:pPr>
    </w:p>
    <w:p w:rsidR="00EE6C6A" w:rsidRDefault="00317F1B">
      <w:pPr>
        <w:widowControl w:val="0"/>
        <w:numPr>
          <w:ilvl w:val="0"/>
          <w:numId w:val="5"/>
        </w:numPr>
        <w:jc w:val="both"/>
        <w:rPr>
          <w:sz w:val="22"/>
          <w:szCs w:val="22"/>
        </w:rPr>
      </w:pPr>
      <w:r>
        <w:rPr>
          <w:b/>
          <w:sz w:val="22"/>
          <w:szCs w:val="22"/>
        </w:rPr>
        <w:t xml:space="preserve">Artículo 78. </w:t>
      </w:r>
      <w:r>
        <w:rPr>
          <w:sz w:val="22"/>
          <w:szCs w:val="22"/>
        </w:rPr>
        <w:t xml:space="preserve">La ley regulará el control de calidad de bienes y servicios ofrecidos y prestados a la comunidad, así como la información que debe suministrarse al público en su comercialización </w:t>
      </w:r>
    </w:p>
    <w:p w:rsidR="00EE6C6A" w:rsidRDefault="00317F1B">
      <w:pPr>
        <w:ind w:left="720"/>
        <w:jc w:val="both"/>
        <w:rPr>
          <w:sz w:val="22"/>
          <w:szCs w:val="22"/>
        </w:rPr>
      </w:pPr>
      <w:r>
        <w:rPr>
          <w:sz w:val="22"/>
          <w:szCs w:val="22"/>
        </w:rPr>
        <w:t xml:space="preserve">Serán responsables, de acuerdo con la ley, quienes en la producción y en la comercialización de bienes y servicios, atenten contra la salud, la seguridad y el adecuado aprovisionamiento a consumidores y usuarios. </w:t>
      </w:r>
    </w:p>
    <w:p w:rsidR="00EE6C6A" w:rsidRDefault="00EE6C6A">
      <w:pPr>
        <w:ind w:left="720"/>
        <w:jc w:val="both"/>
        <w:rPr>
          <w:sz w:val="22"/>
          <w:szCs w:val="22"/>
        </w:rPr>
      </w:pPr>
    </w:p>
    <w:p w:rsidR="00EE6C6A" w:rsidRDefault="00317F1B">
      <w:pPr>
        <w:ind w:left="720"/>
        <w:jc w:val="both"/>
        <w:rPr>
          <w:sz w:val="22"/>
          <w:szCs w:val="22"/>
        </w:rPr>
      </w:pPr>
      <w:r>
        <w:rPr>
          <w:sz w:val="22"/>
          <w:szCs w:val="22"/>
        </w:rPr>
        <w:t>El Estado garantizará la participación de las organizaciones de consumidores y usuarios en el estudio de las disposiciones que les conciernen. Para gozar de este derecho las organizaciones deben ser representativas y observar procedimientos democráticos internos.</w:t>
      </w:r>
    </w:p>
    <w:p w:rsidR="00EE6C6A" w:rsidRDefault="00EE6C6A">
      <w:pPr>
        <w:ind w:left="720"/>
        <w:jc w:val="both"/>
        <w:rPr>
          <w:b/>
          <w:sz w:val="22"/>
          <w:szCs w:val="22"/>
        </w:rPr>
      </w:pPr>
    </w:p>
    <w:p w:rsidR="00EE6C6A" w:rsidRDefault="00317F1B">
      <w:pPr>
        <w:widowControl w:val="0"/>
        <w:numPr>
          <w:ilvl w:val="0"/>
          <w:numId w:val="5"/>
        </w:numPr>
        <w:jc w:val="both"/>
        <w:rPr>
          <w:sz w:val="22"/>
          <w:szCs w:val="22"/>
        </w:rPr>
      </w:pPr>
      <w:r>
        <w:rPr>
          <w:sz w:val="22"/>
          <w:szCs w:val="22"/>
        </w:rPr>
        <w:t>Artículo 365 de la Constitución Política de Colombia: Señala que los servicios públicos son inherentes a la finalidad social del Estado y que corresponde a este asegurar su prestación eficiente a todos los habitantes del territorio nacional. También establece que los servicios públicos estarán sometidos al régimen jurídico que fije la ley, pudiendo el Estado intervenir para garantizar su prestación continua, eficiente y segura.</w:t>
      </w:r>
    </w:p>
    <w:p w:rsidR="00EE6C6A" w:rsidRDefault="00EE6C6A">
      <w:pPr>
        <w:widowControl w:val="0"/>
        <w:ind w:left="720"/>
        <w:jc w:val="both"/>
        <w:rPr>
          <w:b/>
          <w:color w:val="000000"/>
          <w:sz w:val="22"/>
          <w:szCs w:val="22"/>
        </w:rPr>
      </w:pPr>
    </w:p>
    <w:p w:rsidR="00EE6C6A" w:rsidRDefault="00317F1B">
      <w:pPr>
        <w:pStyle w:val="Ttulo3"/>
        <w:keepNext w:val="0"/>
        <w:keepLines w:val="0"/>
        <w:spacing w:before="0"/>
        <w:ind w:left="360"/>
        <w:jc w:val="both"/>
        <w:rPr>
          <w:rFonts w:ascii="Arial" w:eastAsia="Arial" w:hAnsi="Arial" w:cs="Arial"/>
          <w:b/>
          <w:color w:val="000000"/>
          <w:sz w:val="22"/>
          <w:szCs w:val="22"/>
        </w:rPr>
      </w:pPr>
      <w:bookmarkStart w:id="5" w:name="_heading=h.cb3cb3pe8j0q" w:colFirst="0" w:colLast="0"/>
      <w:bookmarkEnd w:id="5"/>
      <w:r>
        <w:rPr>
          <w:rFonts w:ascii="Arial" w:eastAsia="Arial" w:hAnsi="Arial" w:cs="Arial"/>
          <w:b/>
          <w:color w:val="000000"/>
          <w:sz w:val="22"/>
          <w:szCs w:val="22"/>
        </w:rPr>
        <w:t xml:space="preserve">4.2 </w:t>
      </w:r>
      <w:proofErr w:type="gramStart"/>
      <w:r>
        <w:rPr>
          <w:rFonts w:ascii="Arial" w:eastAsia="Arial" w:hAnsi="Arial" w:cs="Arial"/>
          <w:b/>
          <w:color w:val="000000"/>
          <w:sz w:val="22"/>
          <w:szCs w:val="22"/>
        </w:rPr>
        <w:t>Legislación  Nacional</w:t>
      </w:r>
      <w:proofErr w:type="gramEnd"/>
    </w:p>
    <w:p w:rsidR="00EE6C6A" w:rsidRDefault="00EE6C6A"/>
    <w:p w:rsidR="00EE6C6A" w:rsidRDefault="00317F1B">
      <w:pPr>
        <w:widowControl w:val="0"/>
        <w:numPr>
          <w:ilvl w:val="0"/>
          <w:numId w:val="13"/>
        </w:numPr>
        <w:rPr>
          <w:sz w:val="22"/>
          <w:szCs w:val="22"/>
        </w:rPr>
      </w:pPr>
      <w:r>
        <w:rPr>
          <w:sz w:val="22"/>
          <w:szCs w:val="22"/>
        </w:rPr>
        <w:t>Ley 769 de 2002 (Código Nacional de Tránsito): establece lineamientos de seguridad vial.</w:t>
      </w:r>
      <w:r>
        <w:rPr>
          <w:sz w:val="22"/>
          <w:szCs w:val="22"/>
        </w:rPr>
        <w:br/>
      </w:r>
    </w:p>
    <w:p w:rsidR="00EE6C6A" w:rsidRDefault="00317F1B">
      <w:pPr>
        <w:widowControl w:val="0"/>
        <w:numPr>
          <w:ilvl w:val="0"/>
          <w:numId w:val="13"/>
        </w:numPr>
        <w:jc w:val="both"/>
        <w:rPr>
          <w:sz w:val="22"/>
          <w:szCs w:val="22"/>
        </w:rPr>
      </w:pPr>
      <w:r>
        <w:rPr>
          <w:sz w:val="22"/>
          <w:szCs w:val="22"/>
        </w:rPr>
        <w:t>Ley 1801 de 2016 (Código de Policía): Normas de convivencia y prevención de riesgos en espacio público.</w:t>
      </w:r>
    </w:p>
    <w:p w:rsidR="00EE6C6A" w:rsidRDefault="00EE6C6A">
      <w:pPr>
        <w:pStyle w:val="Ttulo3"/>
        <w:keepNext w:val="0"/>
        <w:keepLines w:val="0"/>
        <w:spacing w:before="0"/>
        <w:ind w:left="720" w:hanging="360"/>
        <w:jc w:val="both"/>
        <w:rPr>
          <w:rFonts w:ascii="Arial" w:eastAsia="Arial" w:hAnsi="Arial" w:cs="Arial"/>
          <w:sz w:val="22"/>
          <w:szCs w:val="22"/>
        </w:rPr>
      </w:pPr>
      <w:bookmarkStart w:id="6" w:name="_heading=h.hzslxic1y2yd" w:colFirst="0" w:colLast="0"/>
      <w:bookmarkEnd w:id="6"/>
    </w:p>
    <w:p w:rsidR="00EE6C6A" w:rsidRDefault="00EE6C6A">
      <w:pPr>
        <w:pStyle w:val="Ttulo3"/>
        <w:keepNext w:val="0"/>
        <w:keepLines w:val="0"/>
        <w:spacing w:before="0"/>
        <w:ind w:left="720" w:hanging="360"/>
        <w:jc w:val="both"/>
        <w:rPr>
          <w:rFonts w:ascii="Arial" w:eastAsia="Arial" w:hAnsi="Arial" w:cs="Arial"/>
          <w:sz w:val="22"/>
          <w:szCs w:val="22"/>
        </w:rPr>
      </w:pPr>
      <w:bookmarkStart w:id="7" w:name="_heading=h.dsjvlgl2qa8c" w:colFirst="0" w:colLast="0"/>
      <w:bookmarkEnd w:id="7"/>
    </w:p>
    <w:p w:rsidR="00EE6C6A" w:rsidRDefault="00317F1B">
      <w:pPr>
        <w:pStyle w:val="Ttulo3"/>
        <w:keepNext w:val="0"/>
        <w:keepLines w:val="0"/>
        <w:spacing w:before="0"/>
        <w:ind w:left="720" w:hanging="360"/>
        <w:jc w:val="both"/>
        <w:rPr>
          <w:rFonts w:ascii="Arial" w:eastAsia="Arial" w:hAnsi="Arial" w:cs="Arial"/>
          <w:b/>
          <w:color w:val="000000"/>
          <w:sz w:val="22"/>
          <w:szCs w:val="22"/>
        </w:rPr>
      </w:pPr>
      <w:bookmarkStart w:id="8" w:name="_heading=h.6cg5kmreopkx" w:colFirst="0" w:colLast="0"/>
      <w:bookmarkEnd w:id="8"/>
      <w:r>
        <w:rPr>
          <w:rFonts w:ascii="Arial" w:eastAsia="Arial" w:hAnsi="Arial" w:cs="Arial"/>
          <w:b/>
          <w:color w:val="000000"/>
          <w:sz w:val="22"/>
          <w:szCs w:val="22"/>
        </w:rPr>
        <w:t>4.3 Normatividad Distrital</w:t>
      </w:r>
    </w:p>
    <w:p w:rsidR="00EE6C6A" w:rsidRDefault="00EE6C6A"/>
    <w:p w:rsidR="00EE6C6A" w:rsidRDefault="00317F1B">
      <w:pPr>
        <w:widowControl w:val="0"/>
        <w:numPr>
          <w:ilvl w:val="0"/>
          <w:numId w:val="9"/>
        </w:numPr>
        <w:pBdr>
          <w:top w:val="nil"/>
          <w:left w:val="nil"/>
          <w:bottom w:val="nil"/>
          <w:right w:val="nil"/>
          <w:between w:val="nil"/>
        </w:pBdr>
        <w:rPr>
          <w:b/>
          <w:sz w:val="22"/>
          <w:szCs w:val="22"/>
        </w:rPr>
      </w:pPr>
      <w:r>
        <w:rPr>
          <w:sz w:val="22"/>
          <w:szCs w:val="22"/>
        </w:rPr>
        <w:t>Decreto 1421 de 1993 (Estatuto Orgánico de Bogotá):</w:t>
      </w:r>
    </w:p>
    <w:p w:rsidR="00EE6C6A" w:rsidRDefault="00317F1B">
      <w:pPr>
        <w:widowControl w:val="0"/>
        <w:numPr>
          <w:ilvl w:val="0"/>
          <w:numId w:val="9"/>
        </w:numPr>
        <w:pBdr>
          <w:top w:val="nil"/>
          <w:left w:val="nil"/>
          <w:bottom w:val="nil"/>
          <w:right w:val="nil"/>
          <w:between w:val="nil"/>
        </w:pBdr>
        <w:rPr>
          <w:sz w:val="22"/>
          <w:szCs w:val="22"/>
        </w:rPr>
      </w:pPr>
      <w:r>
        <w:rPr>
          <w:sz w:val="22"/>
          <w:szCs w:val="22"/>
        </w:rPr>
        <w:t>Artículo 12 numerales 1, 7, 10, 19: facultades del Concejo para dictar normas de seguridad, participación ciudadana y tránsito.</w:t>
      </w:r>
    </w:p>
    <w:p w:rsidR="00EE6C6A" w:rsidRDefault="00EE6C6A">
      <w:pPr>
        <w:widowControl w:val="0"/>
        <w:pBdr>
          <w:top w:val="nil"/>
          <w:left w:val="nil"/>
          <w:bottom w:val="nil"/>
          <w:right w:val="nil"/>
          <w:between w:val="nil"/>
        </w:pBdr>
        <w:ind w:left="1080"/>
        <w:rPr>
          <w:sz w:val="22"/>
          <w:szCs w:val="22"/>
        </w:rPr>
      </w:pPr>
    </w:p>
    <w:p w:rsidR="00EE6C6A" w:rsidRDefault="00317F1B">
      <w:pPr>
        <w:ind w:left="360"/>
        <w:rPr>
          <w:sz w:val="22"/>
          <w:szCs w:val="22"/>
        </w:rPr>
      </w:pPr>
      <w:r>
        <w:rPr>
          <w:b/>
          <w:sz w:val="22"/>
          <w:szCs w:val="22"/>
        </w:rPr>
        <w:t>4.4 Sentencias judiciales relevantes:</w:t>
      </w:r>
    </w:p>
    <w:p w:rsidR="00EE6C6A" w:rsidRDefault="00317F1B">
      <w:pPr>
        <w:widowControl w:val="0"/>
        <w:numPr>
          <w:ilvl w:val="1"/>
          <w:numId w:val="12"/>
        </w:numPr>
        <w:rPr>
          <w:sz w:val="22"/>
          <w:szCs w:val="22"/>
        </w:rPr>
      </w:pPr>
      <w:r>
        <w:rPr>
          <w:sz w:val="22"/>
          <w:szCs w:val="22"/>
        </w:rPr>
        <w:t xml:space="preserve">Tribunal Administrativo de Cundinamarca (2025): obligación de autoridades locales de adoptar medidas para garantizar seguridad en plataformas de movilidad. </w:t>
      </w:r>
      <w:r>
        <w:rPr>
          <w:sz w:val="22"/>
          <w:szCs w:val="22"/>
          <w:vertAlign w:val="superscript"/>
        </w:rPr>
        <w:footnoteReference w:id="3"/>
      </w:r>
    </w:p>
    <w:p w:rsidR="00EE6C6A" w:rsidRDefault="00317F1B">
      <w:pPr>
        <w:widowControl w:val="0"/>
        <w:numPr>
          <w:ilvl w:val="1"/>
          <w:numId w:val="12"/>
        </w:numPr>
        <w:jc w:val="both"/>
        <w:rPr>
          <w:sz w:val="22"/>
          <w:szCs w:val="22"/>
        </w:rPr>
      </w:pPr>
      <w:r>
        <w:rPr>
          <w:sz w:val="22"/>
          <w:szCs w:val="22"/>
        </w:rPr>
        <w:t>Corte Suprema de Justicia (2023): ausencia de regulación no equivale a ilegalidad; establece que en el uso de plataformas de economía colaborativa se expresa el derecho humano a disfrutar de los avances científicos y tecnológicos.</w:t>
      </w:r>
      <w:r>
        <w:rPr>
          <w:sz w:val="22"/>
          <w:szCs w:val="22"/>
          <w:vertAlign w:val="superscript"/>
        </w:rPr>
        <w:footnoteReference w:id="4"/>
      </w:r>
    </w:p>
    <w:p w:rsidR="00EE6C6A" w:rsidRDefault="00EE6C6A">
      <w:pPr>
        <w:widowControl w:val="0"/>
        <w:ind w:left="1440"/>
        <w:rPr>
          <w:sz w:val="22"/>
          <w:szCs w:val="22"/>
        </w:rPr>
      </w:pPr>
    </w:p>
    <w:p w:rsidR="00EE6C6A" w:rsidRDefault="00317F1B">
      <w:pPr>
        <w:ind w:left="360"/>
        <w:jc w:val="both"/>
        <w:rPr>
          <w:b/>
          <w:sz w:val="22"/>
          <w:szCs w:val="22"/>
        </w:rPr>
      </w:pPr>
      <w:r>
        <w:rPr>
          <w:b/>
          <w:sz w:val="22"/>
          <w:szCs w:val="22"/>
        </w:rPr>
        <w:t>4.5 JURISPRUDENCIA</w:t>
      </w:r>
    </w:p>
    <w:p w:rsidR="00EE6C6A" w:rsidRDefault="00EE6C6A">
      <w:pPr>
        <w:ind w:left="360"/>
        <w:jc w:val="both"/>
        <w:rPr>
          <w:b/>
          <w:sz w:val="22"/>
          <w:szCs w:val="22"/>
        </w:rPr>
      </w:pPr>
    </w:p>
    <w:p w:rsidR="00EE6C6A" w:rsidRDefault="00317F1B">
      <w:pPr>
        <w:ind w:left="360"/>
        <w:jc w:val="both"/>
        <w:rPr>
          <w:sz w:val="22"/>
          <w:szCs w:val="22"/>
        </w:rPr>
      </w:pPr>
      <w:r>
        <w:rPr>
          <w:sz w:val="22"/>
          <w:szCs w:val="22"/>
        </w:rPr>
        <w:t xml:space="preserve">En relación al tema objeto de este proyecto de acuerdo, es conveniente citar en el contexto de la exposición de motivos, los diversos pronunciamientos emanados de la Corte Constitucional y demás tribunales, que se refieren a las diferentes propuestas normativas a nivel local y nacional,  respecto al uso de las plataformas tecnológicas de movilidad en Colombia deben construirse a la luz de la evolución jurisprudencial reciente, que ha marcado pautas claras sobre el enfoque, los límites y alcances de la competencia, la innovación y la protección de derechos colectivos y de la seguridad de los usuarios que hacen uso de ella. </w:t>
      </w:r>
    </w:p>
    <w:p w:rsidR="00EE6C6A" w:rsidRDefault="00EE6C6A">
      <w:pPr>
        <w:ind w:left="360"/>
        <w:jc w:val="both"/>
        <w:rPr>
          <w:sz w:val="22"/>
          <w:szCs w:val="22"/>
        </w:rPr>
      </w:pPr>
    </w:p>
    <w:p w:rsidR="00EE6C6A" w:rsidRDefault="00317F1B">
      <w:pPr>
        <w:ind w:left="360"/>
        <w:jc w:val="both"/>
        <w:rPr>
          <w:sz w:val="22"/>
          <w:szCs w:val="22"/>
        </w:rPr>
      </w:pPr>
      <w:r>
        <w:rPr>
          <w:sz w:val="22"/>
          <w:szCs w:val="22"/>
        </w:rPr>
        <w:t>Por un lado, la sentencia SC370-2023 de la Corte Suprema de Justicia reconoció que la economía colaborativa genera nuevos retos para el derecho de la competencia y que el uso de tecnologías no puede calificarse automáticamente como un medio desleal para captar clientes. El fallo dejó claro que no basta con alegar pérdidas económicas para demostrar competencia desleal: se requiere probar de manera concreta la desviación de clientela. Este criterio evita barreras injustificadas al ingreso de nuevos actores y refuerza la necesidad de adaptar la interpretación de las normas a la economía digital. Adicionalmente, reconoció como derecho fundamental el acceso de los usuarios a los avances científicos y tecnológicos.</w:t>
      </w:r>
    </w:p>
    <w:p w:rsidR="00EE6C6A" w:rsidRDefault="00EE6C6A">
      <w:pPr>
        <w:ind w:left="360"/>
        <w:jc w:val="both"/>
        <w:rPr>
          <w:sz w:val="22"/>
          <w:szCs w:val="22"/>
        </w:rPr>
      </w:pPr>
    </w:p>
    <w:p w:rsidR="00EE6C6A" w:rsidRDefault="00317F1B">
      <w:pPr>
        <w:ind w:left="360"/>
        <w:jc w:val="both"/>
        <w:rPr>
          <w:sz w:val="22"/>
          <w:szCs w:val="22"/>
        </w:rPr>
      </w:pPr>
      <w:r>
        <w:rPr>
          <w:sz w:val="22"/>
          <w:szCs w:val="22"/>
        </w:rPr>
        <w:t xml:space="preserve">Por otro lado, la decisión del Tribunal Administrativo de Cundinamarca del 24 de julio de 2025 (magistrado ponente Óscar Armando </w:t>
      </w:r>
      <w:proofErr w:type="spellStart"/>
      <w:r>
        <w:rPr>
          <w:sz w:val="22"/>
          <w:szCs w:val="22"/>
        </w:rPr>
        <w:t>Dimaté</w:t>
      </w:r>
      <w:proofErr w:type="spellEnd"/>
      <w:r>
        <w:rPr>
          <w:sz w:val="22"/>
          <w:szCs w:val="22"/>
        </w:rPr>
        <w:t xml:space="preserve">) resolvió una acción popular que pedía bloquear plataformas como Uber, </w:t>
      </w:r>
      <w:proofErr w:type="spellStart"/>
      <w:r>
        <w:rPr>
          <w:sz w:val="22"/>
          <w:szCs w:val="22"/>
        </w:rPr>
        <w:t>Cabify</w:t>
      </w:r>
      <w:proofErr w:type="spellEnd"/>
      <w:r>
        <w:rPr>
          <w:sz w:val="22"/>
          <w:szCs w:val="22"/>
        </w:rPr>
        <w:t xml:space="preserve"> y </w:t>
      </w:r>
      <w:proofErr w:type="spellStart"/>
      <w:r>
        <w:rPr>
          <w:sz w:val="22"/>
          <w:szCs w:val="22"/>
        </w:rPr>
        <w:t>DiDi</w:t>
      </w:r>
      <w:proofErr w:type="spellEnd"/>
      <w:r>
        <w:rPr>
          <w:sz w:val="22"/>
          <w:szCs w:val="22"/>
        </w:rPr>
        <w:t xml:space="preserve"> por supuestas vulneraciones a la moralidad administrativa, la seguridad y los derechos de los consumidores. El Tribunal negó expresamente esta pretensión, señalando que las entidades demandadas no </w:t>
      </w:r>
      <w:r>
        <w:rPr>
          <w:sz w:val="22"/>
          <w:szCs w:val="22"/>
        </w:rPr>
        <w:lastRenderedPageBreak/>
        <w:t xml:space="preserve">tenían competencia para ordenar bloqueos sin una ley expresa. Aquí cobra especial relevancia el principio de neutralidad tecnológica consagrado en la Ley 1341 de 2009: el Estado no puede bloquear aplicaciones sin disposición legal o judicial específica, pues ello afectaría la libertad de internet y constituirá un acto de censura tecnológica. </w:t>
      </w:r>
    </w:p>
    <w:p w:rsidR="00EE6C6A" w:rsidRDefault="00EE6C6A">
      <w:pPr>
        <w:ind w:left="360"/>
        <w:jc w:val="both"/>
      </w:pPr>
    </w:p>
    <w:p w:rsidR="00EE6C6A" w:rsidRDefault="00317F1B">
      <w:pPr>
        <w:ind w:left="360"/>
        <w:jc w:val="both"/>
        <w:rPr>
          <w:sz w:val="22"/>
          <w:szCs w:val="22"/>
        </w:rPr>
      </w:pPr>
      <w:r>
        <w:rPr>
          <w:sz w:val="22"/>
          <w:szCs w:val="22"/>
        </w:rPr>
        <w:t xml:space="preserve">Además, el tribunal también reconoció que la falta de regulación sobre la movilidad por aplicaciones constituye un vacío legal que pone en riesgo derechos colectivos como la seguridad, la transparencia y la protección de los usuarios. Por ello, exhortó al Congreso y al Ministerio de Transporte a expedir una regulación urgente y ordenó a las entidades competentes adoptar medidas inmediatas de protección al consumidor, entre ellas: mecanismos de verificación de identidad de conductores, mayor transparencia en precios y algoritmos, protección de datos personales y fortalecimiento en la atención de quejas y reclamos. Muchas de estas medidas que solicita el Tribunal, hacen parte del presente proyecto de acuerdo para Bogotá. </w:t>
      </w:r>
    </w:p>
    <w:p w:rsidR="00EE6C6A" w:rsidRDefault="00EE6C6A">
      <w:pPr>
        <w:ind w:left="360"/>
        <w:jc w:val="both"/>
        <w:rPr>
          <w:sz w:val="22"/>
          <w:szCs w:val="22"/>
        </w:rPr>
      </w:pPr>
    </w:p>
    <w:p w:rsidR="00EE6C6A" w:rsidRDefault="00317F1B">
      <w:pPr>
        <w:ind w:left="360"/>
        <w:jc w:val="both"/>
        <w:rPr>
          <w:sz w:val="22"/>
          <w:szCs w:val="22"/>
        </w:rPr>
      </w:pPr>
      <w:r>
        <w:rPr>
          <w:sz w:val="22"/>
          <w:szCs w:val="22"/>
        </w:rPr>
        <w:t>En conjunto, estos fallos reafirman la necesidad de diseñar un marco regulatorio flexible, moderno y equilibrado que promueva la innovación y la competencia leal. Sin embargo, el principio rector debe ser claro: proteger de manera efectiva la seguridad y los derechos colectivos de los usuarios. Cualquier regulación que se adopte debe garantizar que quienes usan estas plataformas lo hagan en un entorno confiable, transparente y seguro, donde la tecnología sea un medio para ampliar oportunidades sin poner en riesgo la integridad ni la confianza de los ciudadanos.</w:t>
      </w:r>
    </w:p>
    <w:p w:rsidR="00EE6C6A" w:rsidRDefault="00EE6C6A">
      <w:pPr>
        <w:ind w:left="360"/>
        <w:jc w:val="both"/>
        <w:rPr>
          <w:b/>
        </w:rPr>
      </w:pPr>
    </w:p>
    <w:p w:rsidR="00EE6C6A" w:rsidRDefault="00317F1B">
      <w:pPr>
        <w:ind w:left="360"/>
        <w:jc w:val="both"/>
        <w:rPr>
          <w:b/>
        </w:rPr>
      </w:pPr>
      <w:r>
        <w:rPr>
          <w:b/>
        </w:rPr>
        <w:t>5. COMPETENCIA CONCEJO DE BOGOTÁ</w:t>
      </w:r>
    </w:p>
    <w:p w:rsidR="00EE6C6A" w:rsidRDefault="00EE6C6A">
      <w:pPr>
        <w:ind w:left="360"/>
        <w:jc w:val="both"/>
      </w:pPr>
    </w:p>
    <w:p w:rsidR="00EE6C6A" w:rsidRDefault="00317F1B">
      <w:pPr>
        <w:ind w:left="360"/>
        <w:jc w:val="both"/>
        <w:rPr>
          <w:sz w:val="22"/>
          <w:szCs w:val="22"/>
        </w:rPr>
      </w:pPr>
      <w:r>
        <w:rPr>
          <w:sz w:val="22"/>
          <w:szCs w:val="22"/>
        </w:rPr>
        <w:t xml:space="preserve">La presente iniciativa es de competencia del Concejo de Bogotá en la medida en que no busca regular el servicio de transporte intermediado por plataformas digitales —materia reservada al legislador nacional y al Ministerio de Transporte—, sino establecer lineamientos de seguridad ciudadana y convivencia en el contexto urbano de la capital sobre la base de una realidad no regulada por ley o norma de superior jerarquía, pero ampliamente consolidada en la ciudad, en desarrollo de lo dispuesto en el artículo 12 del Decreto 1421 de 1993. </w:t>
      </w:r>
    </w:p>
    <w:p w:rsidR="00EE6C6A" w:rsidRDefault="00EE6C6A">
      <w:pPr>
        <w:ind w:left="360"/>
        <w:jc w:val="both"/>
        <w:rPr>
          <w:sz w:val="22"/>
          <w:szCs w:val="22"/>
        </w:rPr>
      </w:pPr>
    </w:p>
    <w:p w:rsidR="00EE6C6A" w:rsidRDefault="00317F1B">
      <w:pPr>
        <w:ind w:left="360"/>
        <w:jc w:val="both"/>
        <w:rPr>
          <w:sz w:val="22"/>
          <w:szCs w:val="22"/>
        </w:rPr>
      </w:pPr>
      <w:r>
        <w:rPr>
          <w:sz w:val="22"/>
          <w:szCs w:val="22"/>
        </w:rPr>
        <w:t>En particular, esta Corporación está facultada para dictar normas necesarias para garantizar la prestación adecuada de los servicios a cargo del Distrito (núm. 1), preservar y defender la seguridad y el patrimonio de la ciudadanía (núm. 7), garantizar la participación y veeduría ciudadanas (núm. 10), y expedir normas de tránsito y transporte en el ámbito distrital (núm. 19).</w:t>
      </w:r>
    </w:p>
    <w:p w:rsidR="00EE6C6A" w:rsidRDefault="00EE6C6A">
      <w:pPr>
        <w:ind w:left="360"/>
        <w:jc w:val="both"/>
        <w:rPr>
          <w:sz w:val="22"/>
          <w:szCs w:val="22"/>
        </w:rPr>
      </w:pPr>
    </w:p>
    <w:p w:rsidR="00EE6C6A" w:rsidRDefault="00317F1B">
      <w:pPr>
        <w:ind w:left="360"/>
        <w:jc w:val="both"/>
        <w:rPr>
          <w:color w:val="FF0000"/>
          <w:sz w:val="22"/>
          <w:szCs w:val="22"/>
        </w:rPr>
      </w:pPr>
      <w:r>
        <w:rPr>
          <w:sz w:val="22"/>
          <w:szCs w:val="22"/>
        </w:rPr>
        <w:t xml:space="preserve">Por lo tanto, el Concejo puede establecer directrices orientadas a que las autoridades distritales adopten protocolos de prevención, articulación institucional y uso de </w:t>
      </w:r>
      <w:r>
        <w:rPr>
          <w:sz w:val="22"/>
          <w:szCs w:val="22"/>
        </w:rPr>
        <w:lastRenderedPageBreak/>
        <w:t>herramientas tecnológicas, con el fin de fortalecer la seguridad de usuarios y conductores que utilizan plataformas digitales de movilidad en Bogotá, sin extralimitar sus funciones ni invadir la competencia nacional.</w:t>
      </w:r>
    </w:p>
    <w:p w:rsidR="00EE6C6A" w:rsidRDefault="00EE6C6A">
      <w:pPr>
        <w:tabs>
          <w:tab w:val="left" w:pos="1079"/>
        </w:tabs>
        <w:ind w:left="360"/>
        <w:jc w:val="both"/>
        <w:rPr>
          <w:sz w:val="22"/>
          <w:szCs w:val="22"/>
        </w:rPr>
      </w:pPr>
    </w:p>
    <w:p w:rsidR="00EE6C6A" w:rsidRDefault="00317F1B">
      <w:pPr>
        <w:tabs>
          <w:tab w:val="left" w:pos="1079"/>
        </w:tabs>
        <w:ind w:left="360"/>
        <w:jc w:val="both"/>
        <w:rPr>
          <w:sz w:val="22"/>
          <w:szCs w:val="22"/>
        </w:rPr>
      </w:pPr>
      <w:r>
        <w:rPr>
          <w:sz w:val="22"/>
          <w:szCs w:val="22"/>
        </w:rPr>
        <w:t xml:space="preserve">Finalmente, el Concejo de Bogotá, en ejercicio de las competencias otorgadas por el artículo 12 del Decreto 1421 de 1993, puede establecer lineamientos de seguridad ciudadana y convivencia, sin invadir la órbita del legislador nacional en materia de transporte. Esta competencia se justifica, además, en el mandato constitucional de proteger la vida y bienes de los ciudadanos (art. 2 CP) y en las metas del Plan de Desarrollo </w:t>
      </w:r>
      <w:r>
        <w:rPr>
          <w:b/>
          <w:i/>
          <w:sz w:val="22"/>
          <w:szCs w:val="22"/>
        </w:rPr>
        <w:t>“Bogotá Camina Segura”,</w:t>
      </w:r>
      <w:r>
        <w:rPr>
          <w:sz w:val="22"/>
          <w:szCs w:val="22"/>
        </w:rPr>
        <w:t xml:space="preserve"> que impulsa la coordinación interinstitucional y el uso de tecnologías de seguridad.</w:t>
      </w:r>
    </w:p>
    <w:p w:rsidR="00EE6C6A" w:rsidRDefault="00EE6C6A">
      <w:pPr>
        <w:tabs>
          <w:tab w:val="left" w:pos="1079"/>
        </w:tabs>
        <w:jc w:val="both"/>
        <w:rPr>
          <w:sz w:val="22"/>
          <w:szCs w:val="22"/>
        </w:rPr>
      </w:pPr>
    </w:p>
    <w:p w:rsidR="00EE6C6A" w:rsidRDefault="00EE6C6A">
      <w:pPr>
        <w:ind w:left="360"/>
        <w:jc w:val="both"/>
        <w:rPr>
          <w:b/>
        </w:rPr>
      </w:pPr>
    </w:p>
    <w:p w:rsidR="00EE6C6A" w:rsidRDefault="00317F1B">
      <w:pPr>
        <w:ind w:left="360"/>
        <w:jc w:val="both"/>
        <w:rPr>
          <w:b/>
        </w:rPr>
      </w:pPr>
      <w:r>
        <w:rPr>
          <w:b/>
          <w:sz w:val="22"/>
          <w:szCs w:val="22"/>
        </w:rPr>
        <w:t>6.</w:t>
      </w:r>
      <w:r>
        <w:rPr>
          <w:b/>
        </w:rPr>
        <w:t xml:space="preserve"> IMPACTO FISCAL</w:t>
      </w:r>
    </w:p>
    <w:p w:rsidR="00EE6C6A" w:rsidRDefault="00EE6C6A">
      <w:pPr>
        <w:ind w:left="360"/>
        <w:jc w:val="both"/>
      </w:pPr>
    </w:p>
    <w:p w:rsidR="00EE6C6A" w:rsidRDefault="00317F1B">
      <w:pPr>
        <w:ind w:left="360"/>
        <w:jc w:val="both"/>
      </w:pPr>
      <w:r>
        <w:rPr>
          <w:sz w:val="22"/>
          <w:szCs w:val="22"/>
        </w:rPr>
        <w:t>La iniciativa no genera impacto fiscal para el Distrito, dado que no implica la creación de nuevas entidades, cargos ni asignación de recursos adicionales o erogaciones. El articulado se limita a establecer lineamientos y orientaciones de seguridad que deben ser desarrollados por las entidades competentes en el marco de sus funciones actuales y con el uso de la capacidad institucional ya existente. En consecuencia, las acciones derivadas de este Proyecto de Acuerdo se implementarán con cargo a los presupuestos y programas previamente aprobados</w:t>
      </w:r>
      <w:r>
        <w:t>.</w:t>
      </w:r>
    </w:p>
    <w:p w:rsidR="00EE6C6A" w:rsidRDefault="00EE6C6A">
      <w:pPr>
        <w:ind w:left="360"/>
        <w:jc w:val="both"/>
      </w:pPr>
    </w:p>
    <w:p w:rsidR="00EE6C6A" w:rsidRDefault="00317F1B">
      <w:pPr>
        <w:ind w:left="360"/>
        <w:jc w:val="both"/>
        <w:rPr>
          <w:b/>
          <w:sz w:val="22"/>
          <w:szCs w:val="22"/>
        </w:rPr>
      </w:pPr>
      <w:r>
        <w:rPr>
          <w:b/>
          <w:sz w:val="22"/>
          <w:szCs w:val="22"/>
        </w:rPr>
        <w:t>7. RELACIÓN DE LA INICIATIVA CON LOS OBJETIVOS DE DESARROLLO SOSTENIBLE</w:t>
      </w:r>
    </w:p>
    <w:p w:rsidR="00EE6C6A" w:rsidRDefault="00EE6C6A">
      <w:pPr>
        <w:ind w:left="360"/>
        <w:jc w:val="both"/>
        <w:rPr>
          <w:sz w:val="22"/>
          <w:szCs w:val="22"/>
        </w:rPr>
      </w:pPr>
    </w:p>
    <w:p w:rsidR="00EE6C6A" w:rsidRDefault="00317F1B">
      <w:pPr>
        <w:widowControl w:val="0"/>
        <w:numPr>
          <w:ilvl w:val="0"/>
          <w:numId w:val="11"/>
        </w:numPr>
        <w:jc w:val="both"/>
        <w:rPr>
          <w:sz w:val="22"/>
          <w:szCs w:val="22"/>
        </w:rPr>
      </w:pPr>
      <w:r>
        <w:rPr>
          <w:sz w:val="22"/>
          <w:szCs w:val="22"/>
        </w:rPr>
        <w:t>ODS 11 (Ciudades y comunidades sostenibles) — Meta 11.2: acceso a sistemas de transporte seguros y mejora de la seguridad vial. El Proyecto de Acuerdo refuerza esta meta al impulsar medidas tecnológicas y de coordinación para prevenir delitos y elevar la confianza en los desplazamientos urbanos.</w:t>
      </w:r>
      <w:hyperlink r:id="rId8">
        <w:r>
          <w:rPr>
            <w:sz w:val="22"/>
            <w:szCs w:val="22"/>
          </w:rPr>
          <w:t xml:space="preserve"> </w:t>
        </w:r>
      </w:hyperlink>
    </w:p>
    <w:p w:rsidR="00EE6C6A" w:rsidRDefault="00EE6C6A">
      <w:pPr>
        <w:ind w:left="720"/>
        <w:jc w:val="both"/>
        <w:rPr>
          <w:sz w:val="22"/>
          <w:szCs w:val="22"/>
        </w:rPr>
      </w:pPr>
    </w:p>
    <w:p w:rsidR="00EE6C6A" w:rsidRDefault="00317F1B">
      <w:pPr>
        <w:widowControl w:val="0"/>
        <w:numPr>
          <w:ilvl w:val="0"/>
          <w:numId w:val="11"/>
        </w:numPr>
        <w:jc w:val="both"/>
        <w:rPr>
          <w:sz w:val="22"/>
          <w:szCs w:val="22"/>
        </w:rPr>
      </w:pPr>
      <w:r>
        <w:rPr>
          <w:sz w:val="22"/>
          <w:szCs w:val="22"/>
        </w:rPr>
        <w:t>ODS 16 (Paz, justicia e instituciones sólidas) — Instituciones eficaces y seguridad en la vida cotidiana. La iniciativa consolida capacidades institucionales y la interoperabilidad en la atención de incidentes, aportando a la prevención y al acceso efectivo a mecanismos de protección.</w:t>
      </w:r>
    </w:p>
    <w:p w:rsidR="00EE6C6A" w:rsidRDefault="00EE6C6A">
      <w:pPr>
        <w:ind w:left="360" w:right="600"/>
        <w:jc w:val="both"/>
        <w:rPr>
          <w:b/>
        </w:rPr>
      </w:pPr>
    </w:p>
    <w:p w:rsidR="00EE6C6A" w:rsidRDefault="00317F1B">
      <w:pPr>
        <w:ind w:left="360" w:right="600"/>
        <w:jc w:val="both"/>
        <w:rPr>
          <w:sz w:val="22"/>
          <w:szCs w:val="22"/>
        </w:rPr>
      </w:pPr>
      <w:r>
        <w:rPr>
          <w:b/>
          <w:sz w:val="22"/>
          <w:szCs w:val="22"/>
        </w:rPr>
        <w:t>8. RELACIÓN DE LA INICIATIVA CON EL PLAN DE DESARROLLO “BOGOTÁ CAMINA SEGURA” Acuerdo 927 de 2024.</w:t>
      </w:r>
    </w:p>
    <w:p w:rsidR="00EE6C6A" w:rsidRDefault="00EE6C6A">
      <w:pPr>
        <w:ind w:left="360"/>
        <w:jc w:val="both"/>
        <w:rPr>
          <w:sz w:val="22"/>
          <w:szCs w:val="22"/>
        </w:rPr>
      </w:pPr>
    </w:p>
    <w:p w:rsidR="00EE6C6A" w:rsidRDefault="00317F1B">
      <w:pPr>
        <w:ind w:left="360"/>
        <w:jc w:val="both"/>
        <w:rPr>
          <w:sz w:val="22"/>
          <w:szCs w:val="22"/>
        </w:rPr>
      </w:pPr>
      <w:r>
        <w:rPr>
          <w:sz w:val="22"/>
          <w:szCs w:val="22"/>
        </w:rPr>
        <w:lastRenderedPageBreak/>
        <w:t>El PDD fija como eje central una ciudad más segura, con gestión basada en datos y coordinación institucional. El Proyecto de Acuerdo aporta a ese objetivo al definir lineamientos para canales de comunicación con plataformas, geolocalización, botones de emergencia y verificación de identidad, en coherencia con el propósito del Plan y sus bases técnicas. Además, se alinea con instrumentos sectoriales referidos en la gestión de movilidad segura (p. ej., seguridad vial).</w:t>
      </w:r>
      <w:hyperlink r:id="rId9">
        <w:r>
          <w:rPr>
            <w:sz w:val="22"/>
            <w:szCs w:val="22"/>
          </w:rPr>
          <w:t xml:space="preserve"> </w:t>
        </w:r>
      </w:hyperlink>
    </w:p>
    <w:p w:rsidR="00EE6C6A" w:rsidRDefault="00EE6C6A">
      <w:pPr>
        <w:jc w:val="both"/>
        <w:rPr>
          <w:sz w:val="22"/>
          <w:szCs w:val="22"/>
        </w:rPr>
      </w:pPr>
    </w:p>
    <w:p w:rsidR="00EE6C6A" w:rsidRDefault="00317F1B">
      <w:pPr>
        <w:widowControl w:val="0"/>
        <w:numPr>
          <w:ilvl w:val="0"/>
          <w:numId w:val="10"/>
        </w:numPr>
        <w:jc w:val="both"/>
        <w:rPr>
          <w:sz w:val="22"/>
          <w:szCs w:val="22"/>
        </w:rPr>
      </w:pPr>
      <w:r>
        <w:rPr>
          <w:sz w:val="22"/>
          <w:szCs w:val="22"/>
        </w:rPr>
        <w:t>Art. 3 (Principios y valores – Modelo de gobernanza): el Plan ordena que la toma de decisiones se base en evidencia y que haya monitoreo, seguimiento y evaluación; además, promueve la articulación de toda la estructura del Distrito para evitar duplicidades y mejorar la atención.</w:t>
      </w:r>
    </w:p>
    <w:p w:rsidR="00EE6C6A" w:rsidRDefault="00EE6C6A">
      <w:pPr>
        <w:ind w:left="720"/>
        <w:jc w:val="both"/>
        <w:rPr>
          <w:sz w:val="22"/>
          <w:szCs w:val="22"/>
        </w:rPr>
      </w:pPr>
    </w:p>
    <w:p w:rsidR="00EE6C6A" w:rsidRDefault="00317F1B">
      <w:pPr>
        <w:widowControl w:val="0"/>
        <w:numPr>
          <w:ilvl w:val="0"/>
          <w:numId w:val="10"/>
        </w:numPr>
        <w:jc w:val="both"/>
        <w:rPr>
          <w:sz w:val="22"/>
          <w:szCs w:val="22"/>
        </w:rPr>
      </w:pPr>
      <w:r>
        <w:rPr>
          <w:sz w:val="22"/>
          <w:szCs w:val="22"/>
        </w:rPr>
        <w:t>Art. 4 (Objetivo general): el PDD busca mejorar la calidad de vida garantizando “una mayor seguridad” e inclusión, en un marco de confianza y colaboración.</w:t>
      </w:r>
    </w:p>
    <w:p w:rsidR="00EE6C6A" w:rsidRDefault="00EE6C6A">
      <w:pPr>
        <w:ind w:left="720"/>
        <w:jc w:val="both"/>
        <w:rPr>
          <w:sz w:val="22"/>
          <w:szCs w:val="22"/>
        </w:rPr>
      </w:pPr>
    </w:p>
    <w:p w:rsidR="00EE6C6A" w:rsidRDefault="00317F1B">
      <w:pPr>
        <w:widowControl w:val="0"/>
        <w:numPr>
          <w:ilvl w:val="0"/>
          <w:numId w:val="10"/>
        </w:numPr>
        <w:jc w:val="both"/>
        <w:rPr>
          <w:sz w:val="22"/>
          <w:szCs w:val="22"/>
        </w:rPr>
      </w:pPr>
      <w:r>
        <w:rPr>
          <w:sz w:val="22"/>
          <w:szCs w:val="22"/>
        </w:rPr>
        <w:t>Objetivo estratégico “Bogotá avanza en seguridad” (referencia expresa en el PDD): el propio Plan reconoce este objetivo y lo enlaza con los ODS 5 y 16 (igualdad, paz, justicia, instituciones sólidas).</w:t>
      </w:r>
    </w:p>
    <w:p w:rsidR="00EE6C6A" w:rsidRDefault="00EE6C6A">
      <w:pPr>
        <w:ind w:left="720"/>
        <w:jc w:val="both"/>
        <w:rPr>
          <w:sz w:val="22"/>
          <w:szCs w:val="22"/>
        </w:rPr>
      </w:pPr>
    </w:p>
    <w:p w:rsidR="00EE6C6A" w:rsidRDefault="00317F1B">
      <w:pPr>
        <w:widowControl w:val="0"/>
        <w:numPr>
          <w:ilvl w:val="0"/>
          <w:numId w:val="10"/>
        </w:numPr>
        <w:jc w:val="both"/>
        <w:rPr>
          <w:sz w:val="22"/>
          <w:szCs w:val="22"/>
        </w:rPr>
      </w:pPr>
      <w:r>
        <w:rPr>
          <w:sz w:val="22"/>
          <w:szCs w:val="22"/>
        </w:rPr>
        <w:t xml:space="preserve">Art. 8.3 – Programa 3 (Desmantelamiento de estructuras criminales): se prevé fortalecer el C4, hacer más eficiente el sistema de </w:t>
      </w:r>
      <w:proofErr w:type="spellStart"/>
      <w:r>
        <w:rPr>
          <w:sz w:val="22"/>
          <w:szCs w:val="22"/>
        </w:rPr>
        <w:t>videovigilancia</w:t>
      </w:r>
      <w:proofErr w:type="spellEnd"/>
      <w:r>
        <w:rPr>
          <w:sz w:val="22"/>
          <w:szCs w:val="22"/>
        </w:rPr>
        <w:t xml:space="preserve"> e incorporar nuevas tecnologías (incluida IA) para administración de datos y reacción de autoridades.</w:t>
      </w:r>
    </w:p>
    <w:p w:rsidR="00EE6C6A" w:rsidRDefault="00EE6C6A">
      <w:pPr>
        <w:ind w:left="720"/>
        <w:jc w:val="both"/>
        <w:rPr>
          <w:sz w:val="22"/>
          <w:szCs w:val="22"/>
        </w:rPr>
      </w:pPr>
    </w:p>
    <w:p w:rsidR="00EE6C6A" w:rsidRDefault="00317F1B">
      <w:pPr>
        <w:widowControl w:val="0"/>
        <w:numPr>
          <w:ilvl w:val="0"/>
          <w:numId w:val="10"/>
        </w:numPr>
        <w:jc w:val="both"/>
        <w:rPr>
          <w:sz w:val="22"/>
          <w:szCs w:val="22"/>
        </w:rPr>
      </w:pPr>
      <w:r>
        <w:rPr>
          <w:sz w:val="22"/>
          <w:szCs w:val="22"/>
        </w:rPr>
        <w:t xml:space="preserve">Art. 8.6 – Programa 6 (Movilidad segura e inclusiva): define un plan interinstitucional para la seguridad del sistema de transporte, con articulación regional–distrital–local, coordinación con Policía, fortalecimiento del Centro de Gestión de Tránsito (CGT), operativos, señalización y </w:t>
      </w:r>
      <w:proofErr w:type="spellStart"/>
      <w:r>
        <w:rPr>
          <w:sz w:val="22"/>
          <w:szCs w:val="22"/>
        </w:rPr>
        <w:t>fotodetección</w:t>
      </w:r>
      <w:proofErr w:type="spellEnd"/>
      <w:r>
        <w:rPr>
          <w:sz w:val="22"/>
          <w:szCs w:val="22"/>
        </w:rPr>
        <w:t xml:space="preserve">, y el programa “Transmilenio zona segura” que integra intervenciones tecnológicas. </w:t>
      </w:r>
    </w:p>
    <w:p w:rsidR="00EE6C6A" w:rsidRDefault="00EE6C6A">
      <w:pPr>
        <w:pBdr>
          <w:top w:val="nil"/>
          <w:left w:val="nil"/>
          <w:bottom w:val="nil"/>
          <w:right w:val="nil"/>
          <w:between w:val="nil"/>
        </w:pBdr>
        <w:ind w:left="708"/>
        <w:rPr>
          <w:color w:val="000000"/>
          <w:sz w:val="22"/>
          <w:szCs w:val="22"/>
        </w:rPr>
      </w:pPr>
    </w:p>
    <w:p w:rsidR="00EE6C6A" w:rsidRDefault="00317F1B">
      <w:pPr>
        <w:widowControl w:val="0"/>
        <w:numPr>
          <w:ilvl w:val="0"/>
          <w:numId w:val="10"/>
        </w:numPr>
        <w:jc w:val="both"/>
        <w:rPr>
          <w:sz w:val="22"/>
          <w:szCs w:val="22"/>
        </w:rPr>
      </w:pPr>
      <w:r>
        <w:rPr>
          <w:sz w:val="22"/>
          <w:szCs w:val="22"/>
        </w:rPr>
        <w:t xml:space="preserve">Colaboración con el sector privado en seguridad (soporte transversal): el PDD ordena un modelo de colaboración con el sector privado (en especial vigilancia y seguridad privadas) para intercambio de buenas prácticas y construcción de conocimiento. </w:t>
      </w:r>
    </w:p>
    <w:p w:rsidR="00EE6C6A" w:rsidRDefault="00EE6C6A">
      <w:pPr>
        <w:widowControl w:val="0"/>
        <w:ind w:left="720"/>
        <w:jc w:val="both"/>
        <w:rPr>
          <w:sz w:val="22"/>
          <w:szCs w:val="22"/>
        </w:rPr>
      </w:pPr>
    </w:p>
    <w:p w:rsidR="00EE6C6A" w:rsidRDefault="00EE6C6A">
      <w:pPr>
        <w:widowControl w:val="0"/>
        <w:ind w:left="720"/>
        <w:jc w:val="both"/>
        <w:rPr>
          <w:sz w:val="22"/>
          <w:szCs w:val="22"/>
        </w:rPr>
      </w:pPr>
    </w:p>
    <w:p w:rsidR="00EE6C6A" w:rsidRDefault="00EE6C6A">
      <w:pPr>
        <w:widowControl w:val="0"/>
        <w:ind w:left="720"/>
        <w:jc w:val="both"/>
        <w:rPr>
          <w:sz w:val="22"/>
          <w:szCs w:val="22"/>
        </w:rPr>
      </w:pPr>
    </w:p>
    <w:p w:rsidR="00EE6C6A" w:rsidRDefault="00EE6C6A">
      <w:pPr>
        <w:widowControl w:val="0"/>
        <w:ind w:left="720"/>
        <w:jc w:val="both"/>
        <w:rPr>
          <w:sz w:val="22"/>
          <w:szCs w:val="22"/>
        </w:rPr>
      </w:pPr>
    </w:p>
    <w:p w:rsidR="00EE6C6A" w:rsidRDefault="00EE6C6A">
      <w:pPr>
        <w:widowControl w:val="0"/>
        <w:ind w:left="720"/>
        <w:jc w:val="both"/>
        <w:rPr>
          <w:sz w:val="22"/>
          <w:szCs w:val="22"/>
        </w:rPr>
      </w:pPr>
    </w:p>
    <w:p w:rsidR="00EE6C6A" w:rsidRDefault="00EE6C6A">
      <w:pPr>
        <w:widowControl w:val="0"/>
        <w:ind w:left="720"/>
        <w:jc w:val="both"/>
        <w:rPr>
          <w:sz w:val="22"/>
          <w:szCs w:val="22"/>
        </w:rPr>
      </w:pPr>
    </w:p>
    <w:p w:rsidR="00EE6C6A" w:rsidRDefault="00317F1B">
      <w:pPr>
        <w:ind w:right="600"/>
        <w:jc w:val="both"/>
        <w:rPr>
          <w:b/>
          <w:sz w:val="22"/>
          <w:szCs w:val="22"/>
        </w:rPr>
      </w:pPr>
      <w:r>
        <w:rPr>
          <w:b/>
          <w:sz w:val="22"/>
          <w:szCs w:val="22"/>
        </w:rPr>
        <w:lastRenderedPageBreak/>
        <w:t>9. RELACIÓN DE LA INICIATIVA CON EL PLAN DE ORDENAMIENTO TERRITORIAL (POT) Decreto 555 de 2021.</w:t>
      </w:r>
    </w:p>
    <w:p w:rsidR="00EE6C6A" w:rsidRDefault="00EE6C6A">
      <w:pPr>
        <w:ind w:right="600"/>
        <w:jc w:val="both"/>
        <w:rPr>
          <w:sz w:val="22"/>
          <w:szCs w:val="22"/>
        </w:rPr>
      </w:pPr>
    </w:p>
    <w:p w:rsidR="00EE6C6A" w:rsidRDefault="00317F1B">
      <w:pPr>
        <w:ind w:right="600"/>
        <w:jc w:val="both"/>
        <w:rPr>
          <w:sz w:val="22"/>
          <w:szCs w:val="22"/>
        </w:rPr>
      </w:pPr>
      <w:r>
        <w:rPr>
          <w:sz w:val="22"/>
          <w:szCs w:val="22"/>
        </w:rPr>
        <w:t xml:space="preserve">El Proyecto de Acuerdo se articula con el Plan de Ordenamiento Territorial vigente (Decreto 555 de 2021), que establece lineamientos para la seguridad en la movilidad, la gestión de riesgos y la innovación tecnológica aplicada al transporte. </w:t>
      </w:r>
    </w:p>
    <w:p w:rsidR="00EE6C6A" w:rsidRDefault="00EE6C6A">
      <w:pPr>
        <w:ind w:right="600"/>
        <w:jc w:val="both"/>
        <w:rPr>
          <w:sz w:val="22"/>
          <w:szCs w:val="22"/>
        </w:rPr>
      </w:pPr>
    </w:p>
    <w:p w:rsidR="00EE6C6A" w:rsidRDefault="00317F1B">
      <w:pPr>
        <w:ind w:right="600"/>
        <w:jc w:val="both"/>
        <w:rPr>
          <w:sz w:val="22"/>
          <w:szCs w:val="22"/>
        </w:rPr>
      </w:pPr>
      <w:r>
        <w:rPr>
          <w:sz w:val="22"/>
          <w:szCs w:val="22"/>
        </w:rPr>
        <w:t>En particular:</w:t>
      </w:r>
    </w:p>
    <w:p w:rsidR="00EE6C6A" w:rsidRDefault="00EE6C6A">
      <w:pPr>
        <w:ind w:right="600"/>
        <w:jc w:val="both"/>
        <w:rPr>
          <w:sz w:val="22"/>
          <w:szCs w:val="22"/>
        </w:rPr>
      </w:pPr>
    </w:p>
    <w:p w:rsidR="00EE6C6A" w:rsidRDefault="00317F1B">
      <w:pPr>
        <w:widowControl w:val="0"/>
        <w:numPr>
          <w:ilvl w:val="0"/>
          <w:numId w:val="4"/>
        </w:numPr>
        <w:jc w:val="both"/>
        <w:rPr>
          <w:sz w:val="22"/>
          <w:szCs w:val="22"/>
        </w:rPr>
      </w:pPr>
      <w:r>
        <w:rPr>
          <w:sz w:val="22"/>
          <w:szCs w:val="22"/>
        </w:rPr>
        <w:t>Artículo 92 – “Sistema de Movilidad”, el POT destaca la necesidad de promover un sistema de transporte que garantice seguridad vial y humana, equidad, inclusión, accesibilidad y priorización de modos limpios y sostenibles. En este sentido, la iniciativa contribuye al establecer mecanismos concretos como geolocalización, botones de emergencia y verificación de identidad que refuerzan estas condiciones.</w:t>
      </w:r>
    </w:p>
    <w:p w:rsidR="00EE6C6A" w:rsidRDefault="00EE6C6A">
      <w:pPr>
        <w:widowControl w:val="0"/>
        <w:ind w:left="720"/>
        <w:jc w:val="both"/>
        <w:rPr>
          <w:sz w:val="22"/>
          <w:szCs w:val="22"/>
        </w:rPr>
      </w:pPr>
    </w:p>
    <w:p w:rsidR="00EE6C6A" w:rsidRDefault="00317F1B">
      <w:pPr>
        <w:widowControl w:val="0"/>
        <w:numPr>
          <w:ilvl w:val="0"/>
          <w:numId w:val="8"/>
        </w:numPr>
        <w:jc w:val="both"/>
        <w:rPr>
          <w:sz w:val="22"/>
          <w:szCs w:val="22"/>
        </w:rPr>
      </w:pPr>
      <w:r>
        <w:rPr>
          <w:sz w:val="22"/>
          <w:szCs w:val="22"/>
        </w:rPr>
        <w:t xml:space="preserve">Artículo 93 – “Estrategias del Sistema de Movilidad”, el POT plantea la consolidación de infraestructuras peatonales, </w:t>
      </w:r>
      <w:proofErr w:type="spellStart"/>
      <w:r>
        <w:rPr>
          <w:sz w:val="22"/>
          <w:szCs w:val="22"/>
        </w:rPr>
        <w:t>ciclorrutas</w:t>
      </w:r>
      <w:proofErr w:type="spellEnd"/>
      <w:r>
        <w:rPr>
          <w:sz w:val="22"/>
          <w:szCs w:val="22"/>
        </w:rPr>
        <w:t xml:space="preserve"> y corredores verdes de transporte público. Estas estrategias priorizan la seguridad del peatón, ciclista y usuario del sistema público. La iniciativa aporta al fortalecimiento de la confianza en los sistemas digitales de movilidad como complemento seguro a estas infraestructuras.</w:t>
      </w:r>
    </w:p>
    <w:p w:rsidR="00EE6C6A" w:rsidRDefault="00EE6C6A">
      <w:pPr>
        <w:ind w:left="360"/>
        <w:jc w:val="both"/>
      </w:pPr>
    </w:p>
    <w:p w:rsidR="00EE6C6A" w:rsidRDefault="00317F1B">
      <w:pPr>
        <w:ind w:left="360"/>
        <w:jc w:val="both"/>
        <w:rPr>
          <w:sz w:val="22"/>
          <w:szCs w:val="22"/>
        </w:rPr>
      </w:pPr>
      <w:r>
        <w:rPr>
          <w:sz w:val="22"/>
          <w:szCs w:val="22"/>
        </w:rPr>
        <w:t xml:space="preserve">Además, en el marco general del POT, se promueve el desarrollo de “instrumentos y estrategias orientadas a consolidar el sistema de movilidad a partir de criterios de sostenibilidad, calidad, eficiencia y </w:t>
      </w:r>
      <w:r>
        <w:rPr>
          <w:b/>
          <w:sz w:val="22"/>
          <w:szCs w:val="22"/>
        </w:rPr>
        <w:t>seguridad vial y humana</w:t>
      </w:r>
      <w:r>
        <w:rPr>
          <w:sz w:val="22"/>
          <w:szCs w:val="22"/>
        </w:rPr>
        <w:t>”, lo que circunscribe la digitalización y coordinación interinstitucional como componentes clave.</w:t>
      </w:r>
    </w:p>
    <w:p w:rsidR="00EE6C6A" w:rsidRDefault="00EE6C6A">
      <w:pPr>
        <w:ind w:left="360"/>
        <w:jc w:val="both"/>
        <w:rPr>
          <w:sz w:val="22"/>
          <w:szCs w:val="22"/>
        </w:rPr>
      </w:pPr>
    </w:p>
    <w:p w:rsidR="00EE6C6A" w:rsidRDefault="00317F1B">
      <w:pPr>
        <w:ind w:left="360"/>
        <w:jc w:val="both"/>
        <w:rPr>
          <w:sz w:val="22"/>
          <w:szCs w:val="22"/>
        </w:rPr>
      </w:pPr>
      <w:r>
        <w:rPr>
          <w:sz w:val="22"/>
          <w:szCs w:val="22"/>
        </w:rPr>
        <w:t>Este Proyecto de Acuerdo, contribuye a la implementación del POT y del PDD, y acerca al Distrito a las metas ODS 11 y 16, sin menoscabar la competencia nacional en materia de regulación del transporte.</w:t>
      </w:r>
    </w:p>
    <w:p w:rsidR="00EE6C6A" w:rsidRDefault="00EE6C6A">
      <w:pPr>
        <w:ind w:left="360"/>
        <w:jc w:val="both"/>
        <w:rPr>
          <w:b/>
          <w:sz w:val="22"/>
          <w:szCs w:val="22"/>
        </w:rPr>
      </w:pPr>
    </w:p>
    <w:p w:rsidR="00EE6C6A" w:rsidRDefault="00317F1B">
      <w:pPr>
        <w:ind w:left="360"/>
        <w:jc w:val="both"/>
        <w:rPr>
          <w:b/>
          <w:sz w:val="22"/>
          <w:szCs w:val="22"/>
        </w:rPr>
      </w:pPr>
      <w:r>
        <w:rPr>
          <w:b/>
          <w:sz w:val="22"/>
          <w:szCs w:val="22"/>
        </w:rPr>
        <w:t>10. PARTICIPACIÓN CIUDADANA DENTRO DEL PROYECTO</w:t>
      </w:r>
    </w:p>
    <w:p w:rsidR="00EE6C6A" w:rsidRDefault="00EE6C6A">
      <w:pPr>
        <w:ind w:left="360"/>
        <w:jc w:val="both"/>
        <w:rPr>
          <w:sz w:val="22"/>
          <w:szCs w:val="22"/>
        </w:rPr>
      </w:pPr>
    </w:p>
    <w:p w:rsidR="00EE6C6A" w:rsidRDefault="00317F1B">
      <w:pPr>
        <w:ind w:left="360"/>
        <w:jc w:val="both"/>
        <w:rPr>
          <w:color w:val="000000"/>
          <w:sz w:val="22"/>
          <w:szCs w:val="22"/>
        </w:rPr>
      </w:pPr>
      <w:r>
        <w:rPr>
          <w:color w:val="000000"/>
          <w:sz w:val="22"/>
          <w:szCs w:val="22"/>
        </w:rPr>
        <w:t xml:space="preserve">La participación ciudadana constituye un pilar esencial de esta iniciativa, en la medida en que son los usuarios y conductores de las plataformas digitales de movilidad quienes enfrentan directamente los riesgos de seguridad en la ciudad. El Proyecto de Acuerdo promueve escenarios de diálogo y veeduría ciudadana, a través de la inclusión de organizaciones sociales, asociaciones de conductores y representantes de usuarios en las mesas técnicas de seguimiento. De esta forma, se busca garantizar que las decisiones normativas no se construyan de manera aislada, sino a partir de la experiencia cotidiana y las percepciones de quienes usan y prestan el servicio, </w:t>
      </w:r>
      <w:r>
        <w:rPr>
          <w:color w:val="000000"/>
          <w:sz w:val="22"/>
          <w:szCs w:val="22"/>
        </w:rPr>
        <w:lastRenderedPageBreak/>
        <w:t xml:space="preserve">fortaleciendo así la legitimidad de las medidas adoptadas y fomentando la corresponsabilidad en la construcción de una Bogotá más segura. </w:t>
      </w:r>
    </w:p>
    <w:p w:rsidR="00EE6C6A" w:rsidRDefault="00EE6C6A">
      <w:pPr>
        <w:ind w:left="360"/>
        <w:jc w:val="both"/>
        <w:rPr>
          <w:b/>
          <w:sz w:val="22"/>
          <w:szCs w:val="22"/>
        </w:rPr>
      </w:pPr>
    </w:p>
    <w:p w:rsidR="00EE6C6A" w:rsidRDefault="00317F1B">
      <w:pPr>
        <w:ind w:left="360"/>
        <w:jc w:val="both"/>
        <w:rPr>
          <w:b/>
          <w:sz w:val="22"/>
          <w:szCs w:val="22"/>
        </w:rPr>
      </w:pPr>
      <w:r>
        <w:rPr>
          <w:b/>
          <w:sz w:val="22"/>
          <w:szCs w:val="22"/>
        </w:rPr>
        <w:t>12. CONCLUSIONES</w:t>
      </w:r>
    </w:p>
    <w:p w:rsidR="00EE6C6A" w:rsidRDefault="00EE6C6A">
      <w:pPr>
        <w:ind w:left="360"/>
        <w:jc w:val="both"/>
        <w:rPr>
          <w:sz w:val="22"/>
          <w:szCs w:val="22"/>
        </w:rPr>
      </w:pPr>
    </w:p>
    <w:p w:rsidR="00EE6C6A" w:rsidRDefault="00317F1B">
      <w:pPr>
        <w:ind w:left="360"/>
        <w:jc w:val="both"/>
        <w:rPr>
          <w:sz w:val="22"/>
          <w:szCs w:val="22"/>
        </w:rPr>
      </w:pPr>
      <w:r>
        <w:rPr>
          <w:sz w:val="22"/>
          <w:szCs w:val="22"/>
        </w:rPr>
        <w:t xml:space="preserve">La seguridad ciudadana es hoy uno de los principales retos de Bogotá. Los niveles de percepción de inseguridad y los indicadores de delitos de alto impacto evidencian la urgencia de que la Administración Distrital y el Concejo fortalezcan mecanismos de prevención, protección y confianza. </w:t>
      </w:r>
    </w:p>
    <w:p w:rsidR="00EE6C6A" w:rsidRDefault="00EE6C6A">
      <w:pPr>
        <w:ind w:left="360"/>
        <w:jc w:val="both"/>
        <w:rPr>
          <w:sz w:val="22"/>
          <w:szCs w:val="22"/>
        </w:rPr>
      </w:pPr>
    </w:p>
    <w:p w:rsidR="00EE6C6A" w:rsidRDefault="00317F1B">
      <w:pPr>
        <w:ind w:left="360"/>
        <w:jc w:val="both"/>
        <w:rPr>
          <w:sz w:val="22"/>
          <w:szCs w:val="22"/>
        </w:rPr>
      </w:pPr>
      <w:r>
        <w:rPr>
          <w:sz w:val="22"/>
          <w:szCs w:val="22"/>
          <w:vertAlign w:val="superscript"/>
        </w:rPr>
        <w:footnoteReference w:id="5"/>
      </w:r>
      <w:r>
        <w:rPr>
          <w:sz w:val="22"/>
          <w:szCs w:val="22"/>
        </w:rPr>
        <w:t xml:space="preserve">La Contraloría Distrital, presenta unas cifras que sustentan esta afirmación en el Informe de Seguridad Urbana 2025, así: </w:t>
      </w:r>
    </w:p>
    <w:p w:rsidR="00EE6C6A" w:rsidRDefault="00EE6C6A">
      <w:pPr>
        <w:ind w:left="360"/>
        <w:jc w:val="both"/>
        <w:rPr>
          <w:sz w:val="22"/>
          <w:szCs w:val="22"/>
        </w:rPr>
      </w:pPr>
    </w:p>
    <w:p w:rsidR="00EE6C6A" w:rsidRDefault="00317F1B">
      <w:pPr>
        <w:ind w:left="360"/>
        <w:jc w:val="both"/>
        <w:rPr>
          <w:i/>
          <w:sz w:val="22"/>
          <w:szCs w:val="22"/>
        </w:rPr>
      </w:pPr>
      <w:r>
        <w:rPr>
          <w:i/>
          <w:sz w:val="22"/>
          <w:szCs w:val="22"/>
        </w:rPr>
        <w:t xml:space="preserve">“Durante el periodo 2020 – 2024, la administración distrital destinó el 1,9% de los recursos del PDD “Un Nuevo Contrato Social y Ambiental para la Bogotá del Siglo XXI” ($2.28 billones) al sector Seguridad, Convivencia y Justicia, alcanzando una ejecución del 83,3% ($1.90 billones). </w:t>
      </w:r>
    </w:p>
    <w:p w:rsidR="00EE6C6A" w:rsidRDefault="00EE6C6A">
      <w:pPr>
        <w:ind w:left="360"/>
        <w:jc w:val="both"/>
        <w:rPr>
          <w:i/>
          <w:sz w:val="22"/>
          <w:szCs w:val="22"/>
        </w:rPr>
      </w:pPr>
    </w:p>
    <w:p w:rsidR="00EE6C6A" w:rsidRDefault="00317F1B">
      <w:pPr>
        <w:ind w:left="360"/>
        <w:jc w:val="both"/>
        <w:rPr>
          <w:i/>
          <w:sz w:val="22"/>
          <w:szCs w:val="22"/>
        </w:rPr>
      </w:pPr>
      <w:r>
        <w:rPr>
          <w:i/>
          <w:sz w:val="22"/>
          <w:szCs w:val="22"/>
        </w:rPr>
        <w:t xml:space="preserve">El 80% de los recursos del programa 48, fueron orientados al fortalecimiento de la infraestructura y tecnología para la seguridad del Distrito. </w:t>
      </w:r>
    </w:p>
    <w:p w:rsidR="00EE6C6A" w:rsidRDefault="00EE6C6A">
      <w:pPr>
        <w:ind w:left="360"/>
        <w:jc w:val="both"/>
        <w:rPr>
          <w:i/>
          <w:sz w:val="22"/>
          <w:szCs w:val="22"/>
        </w:rPr>
      </w:pPr>
    </w:p>
    <w:p w:rsidR="00EE6C6A" w:rsidRDefault="00317F1B">
      <w:pPr>
        <w:ind w:left="360"/>
        <w:jc w:val="both"/>
        <w:rPr>
          <w:b/>
          <w:i/>
          <w:sz w:val="22"/>
          <w:szCs w:val="22"/>
          <w:u w:val="single"/>
        </w:rPr>
      </w:pPr>
      <w:r>
        <w:rPr>
          <w:i/>
          <w:sz w:val="22"/>
          <w:szCs w:val="22"/>
        </w:rPr>
        <w:t xml:space="preserve">Como resultado, hubo avances en la reducción del hurto en el sistema Transmilenio, hurto de celulares y bicicletas, así como en la percepción de seguridad dentro del sistema. </w:t>
      </w:r>
      <w:r>
        <w:rPr>
          <w:b/>
          <w:i/>
          <w:sz w:val="22"/>
          <w:szCs w:val="22"/>
          <w:u w:val="single"/>
        </w:rPr>
        <w:t xml:space="preserve">Sin embargo, problemáticas como la extorsión, delitos sexuales y hurto en Transmilenio aumentaron. Así mismo, la percepción general de inseguridad en la ciudad y el barrio se mantuvo alta. </w:t>
      </w:r>
    </w:p>
    <w:p w:rsidR="00EE6C6A" w:rsidRDefault="00EE6C6A">
      <w:pPr>
        <w:ind w:left="360"/>
        <w:jc w:val="both"/>
        <w:rPr>
          <w:i/>
          <w:sz w:val="22"/>
          <w:szCs w:val="22"/>
        </w:rPr>
      </w:pPr>
    </w:p>
    <w:p w:rsidR="00EE6C6A" w:rsidRDefault="00317F1B">
      <w:pPr>
        <w:ind w:left="360"/>
        <w:jc w:val="both"/>
        <w:rPr>
          <w:i/>
          <w:sz w:val="22"/>
          <w:szCs w:val="22"/>
        </w:rPr>
      </w:pPr>
      <w:r>
        <w:rPr>
          <w:i/>
          <w:sz w:val="22"/>
          <w:szCs w:val="22"/>
        </w:rPr>
        <w:t>La falta de correspondencia explícita entre las metas sectoriales del PDD “UNCSA” y las metas trazadoras, dificultó el análisis del impacto directo de las acciones implementadas por la administración, aunque el cumplimiento general de las metas sectoriales reflejó avances positivos”.</w:t>
      </w:r>
    </w:p>
    <w:p w:rsidR="00EE6C6A" w:rsidRDefault="00EE6C6A">
      <w:pPr>
        <w:ind w:left="360"/>
        <w:jc w:val="both"/>
      </w:pPr>
    </w:p>
    <w:p w:rsidR="00EE6C6A" w:rsidRDefault="00317F1B">
      <w:pPr>
        <w:ind w:left="360"/>
        <w:jc w:val="both"/>
        <w:rPr>
          <w:sz w:val="22"/>
          <w:szCs w:val="22"/>
        </w:rPr>
      </w:pPr>
      <w:r>
        <w:rPr>
          <w:sz w:val="22"/>
          <w:szCs w:val="22"/>
        </w:rPr>
        <w:t>En el caso de la movilidad intermediada por plataformas digitales, el crecimiento acelerado de este servicio exige respuestas innovadoras y oportunas que garanticen la vida, la integridad y los derechos de quienes participan en estas dinámicas urbanas.</w:t>
      </w:r>
    </w:p>
    <w:p w:rsidR="00EE6C6A" w:rsidRDefault="00EE6C6A">
      <w:pPr>
        <w:ind w:left="360"/>
        <w:jc w:val="both"/>
        <w:rPr>
          <w:sz w:val="22"/>
          <w:szCs w:val="22"/>
        </w:rPr>
      </w:pPr>
    </w:p>
    <w:p w:rsidR="00EE6C6A" w:rsidRDefault="00317F1B">
      <w:pPr>
        <w:ind w:left="360"/>
        <w:jc w:val="both"/>
        <w:rPr>
          <w:sz w:val="22"/>
          <w:szCs w:val="22"/>
        </w:rPr>
      </w:pPr>
      <w:r>
        <w:rPr>
          <w:sz w:val="22"/>
          <w:szCs w:val="22"/>
        </w:rPr>
        <w:t xml:space="preserve">Este Proyecto de Acuerdo constituye una oportunidad para avanzar en una estrategia integral de seguridad, que no desconoce las competencias nacionales en materia de transporte, pero que sí asume la responsabilidad distrital de coordinar, prevenir y </w:t>
      </w:r>
      <w:r>
        <w:rPr>
          <w:sz w:val="22"/>
          <w:szCs w:val="22"/>
        </w:rPr>
        <w:lastRenderedPageBreak/>
        <w:t>proteger a la ciudadanía frente a riesgos concretos. La articulación entre autoridades, plataformas, usuarios y conductores permitirá generar un ecosistema más confiable, donde la innovación tecnológica esté al servicio de la convivencia y la tranquilidad en la ciudad.</w:t>
      </w:r>
    </w:p>
    <w:p w:rsidR="00EE6C6A" w:rsidRDefault="00EE6C6A">
      <w:pPr>
        <w:ind w:left="360"/>
        <w:jc w:val="both"/>
        <w:rPr>
          <w:sz w:val="22"/>
          <w:szCs w:val="22"/>
        </w:rPr>
      </w:pPr>
    </w:p>
    <w:p w:rsidR="00EE6C6A" w:rsidRDefault="00317F1B">
      <w:pPr>
        <w:ind w:left="360"/>
        <w:jc w:val="both"/>
      </w:pPr>
      <w:r>
        <w:rPr>
          <w:sz w:val="22"/>
          <w:szCs w:val="22"/>
        </w:rPr>
        <w:t xml:space="preserve">Con ello, Bogotá se posiciona como referente en la adopción de medidas preventivas y pedagógicas frente a los retos de la movilidad digital, en sintonía con el Plan de Desarrollo </w:t>
      </w:r>
      <w:r>
        <w:rPr>
          <w:i/>
          <w:sz w:val="22"/>
          <w:szCs w:val="22"/>
        </w:rPr>
        <w:t>Bogotá Camina Segura</w:t>
      </w:r>
      <w:r>
        <w:rPr>
          <w:sz w:val="22"/>
          <w:szCs w:val="22"/>
        </w:rPr>
        <w:t xml:space="preserve"> y los Objetivos de Desarrollo Sostenible. Al fortalecer la seguridad en este sector, se protege no solo a los usuarios y conductores, sino que también se refuerza la confianza en las instituciones, se contribuye a la cohesión social y se avanza hacia una ciudad más segura, moderna y sostenible.</w:t>
      </w:r>
    </w:p>
    <w:p w:rsidR="00EE6C6A" w:rsidRDefault="00EE6C6A">
      <w:pPr>
        <w:ind w:left="360"/>
        <w:jc w:val="both"/>
      </w:pPr>
    </w:p>
    <w:p w:rsidR="00EE6C6A" w:rsidRDefault="00EE6C6A">
      <w:pPr>
        <w:ind w:left="360"/>
        <w:jc w:val="both"/>
      </w:pPr>
    </w:p>
    <w:p w:rsidR="00EE6C6A" w:rsidRDefault="00EE6C6A">
      <w:pPr>
        <w:ind w:left="360"/>
        <w:jc w:val="both"/>
      </w:pPr>
    </w:p>
    <w:p w:rsidR="00EE6C6A" w:rsidRDefault="00317F1B">
      <w:pPr>
        <w:pBdr>
          <w:top w:val="nil"/>
          <w:left w:val="nil"/>
          <w:bottom w:val="nil"/>
          <w:right w:val="nil"/>
          <w:between w:val="nil"/>
        </w:pBdr>
        <w:ind w:left="360" w:right="351"/>
        <w:jc w:val="both"/>
        <w:rPr>
          <w:b/>
          <w:sz w:val="22"/>
          <w:szCs w:val="22"/>
        </w:rPr>
      </w:pPr>
      <w:r>
        <w:rPr>
          <w:b/>
          <w:sz w:val="22"/>
          <w:szCs w:val="22"/>
        </w:rPr>
        <w:t>CRISTINA CALDERÓN RESTREPO                   JUAN BAENA MERLANO</w:t>
      </w:r>
    </w:p>
    <w:p w:rsidR="00EE6C6A" w:rsidRDefault="00317F1B">
      <w:pPr>
        <w:pBdr>
          <w:top w:val="nil"/>
          <w:left w:val="nil"/>
          <w:bottom w:val="nil"/>
          <w:right w:val="nil"/>
          <w:between w:val="nil"/>
        </w:pBdr>
        <w:ind w:left="360" w:right="351"/>
        <w:jc w:val="both"/>
        <w:rPr>
          <w:sz w:val="22"/>
          <w:szCs w:val="22"/>
        </w:rPr>
      </w:pPr>
      <w:r>
        <w:rPr>
          <w:sz w:val="22"/>
          <w:szCs w:val="22"/>
        </w:rPr>
        <w:t xml:space="preserve">Concejal de Bogotá                                               Concejal de Bogotá </w:t>
      </w:r>
    </w:p>
    <w:p w:rsidR="00EE6C6A" w:rsidRDefault="00317F1B">
      <w:pPr>
        <w:pBdr>
          <w:top w:val="nil"/>
          <w:left w:val="nil"/>
          <w:bottom w:val="nil"/>
          <w:right w:val="nil"/>
          <w:between w:val="nil"/>
        </w:pBdr>
        <w:ind w:left="360" w:right="351"/>
        <w:jc w:val="both"/>
        <w:rPr>
          <w:sz w:val="22"/>
          <w:szCs w:val="22"/>
        </w:rPr>
      </w:pPr>
      <w:r>
        <w:rPr>
          <w:sz w:val="22"/>
          <w:szCs w:val="22"/>
        </w:rPr>
        <w:t>Partido Nuevo Liberalismo                                    Partido Nuevo Liberalismo</w:t>
      </w:r>
    </w:p>
    <w:p w:rsidR="00EE6C6A" w:rsidRDefault="00317F1B">
      <w:pPr>
        <w:jc w:val="both"/>
        <w:rPr>
          <w:sz w:val="22"/>
          <w:szCs w:val="22"/>
        </w:rPr>
      </w:pPr>
      <w:r>
        <w:rPr>
          <w:sz w:val="22"/>
          <w:szCs w:val="22"/>
        </w:rPr>
        <w:t xml:space="preserve"> </w:t>
      </w:r>
    </w:p>
    <w:p w:rsidR="00EE6C6A" w:rsidRDefault="00EE6C6A">
      <w:pPr>
        <w:jc w:val="both"/>
        <w:rPr>
          <w:sz w:val="22"/>
          <w:szCs w:val="22"/>
        </w:rPr>
      </w:pPr>
    </w:p>
    <w:p w:rsidR="00EE6C6A" w:rsidRDefault="00EE6C6A">
      <w:pPr>
        <w:jc w:val="both"/>
        <w:rPr>
          <w:sz w:val="22"/>
          <w:szCs w:val="22"/>
        </w:rPr>
      </w:pPr>
    </w:p>
    <w:p w:rsidR="00EE6C6A" w:rsidRDefault="00317F1B">
      <w:pPr>
        <w:pBdr>
          <w:top w:val="nil"/>
          <w:left w:val="nil"/>
          <w:bottom w:val="nil"/>
          <w:right w:val="nil"/>
          <w:between w:val="nil"/>
        </w:pBdr>
        <w:ind w:left="360" w:right="351"/>
        <w:jc w:val="both"/>
        <w:rPr>
          <w:b/>
          <w:sz w:val="22"/>
          <w:szCs w:val="22"/>
        </w:rPr>
      </w:pPr>
      <w:r>
        <w:rPr>
          <w:b/>
          <w:sz w:val="22"/>
          <w:szCs w:val="22"/>
        </w:rPr>
        <w:t>FERNANDO LÓPEZ GUTIÉRREZ                 RICARDO CORREA MOJICA</w:t>
      </w:r>
    </w:p>
    <w:p w:rsidR="00EE6C6A" w:rsidRDefault="00317F1B">
      <w:pPr>
        <w:pBdr>
          <w:top w:val="nil"/>
          <w:left w:val="nil"/>
          <w:bottom w:val="nil"/>
          <w:right w:val="nil"/>
          <w:between w:val="nil"/>
        </w:pBdr>
        <w:ind w:left="360" w:right="351"/>
        <w:jc w:val="both"/>
        <w:rPr>
          <w:sz w:val="22"/>
          <w:szCs w:val="22"/>
        </w:rPr>
      </w:pPr>
      <w:r>
        <w:rPr>
          <w:sz w:val="22"/>
          <w:szCs w:val="22"/>
        </w:rPr>
        <w:t xml:space="preserve">Concejal de Bogotá                                         Concejal de Bogotá </w:t>
      </w:r>
    </w:p>
    <w:p w:rsidR="00EE6C6A" w:rsidRDefault="00317F1B">
      <w:pPr>
        <w:pBdr>
          <w:top w:val="nil"/>
          <w:left w:val="nil"/>
          <w:bottom w:val="nil"/>
          <w:right w:val="nil"/>
          <w:between w:val="nil"/>
        </w:pBdr>
        <w:ind w:left="360" w:right="351"/>
        <w:jc w:val="both"/>
        <w:rPr>
          <w:sz w:val="22"/>
          <w:szCs w:val="22"/>
        </w:rPr>
      </w:pPr>
      <w:r>
        <w:rPr>
          <w:sz w:val="22"/>
          <w:szCs w:val="22"/>
        </w:rPr>
        <w:t>Partido Nuevo Liberalismo                              Partido Nuevo Liberalismo</w:t>
      </w:r>
    </w:p>
    <w:p w:rsidR="00EE6C6A" w:rsidRDefault="00EE6C6A">
      <w:pPr>
        <w:jc w:val="both"/>
        <w:rPr>
          <w:sz w:val="22"/>
          <w:szCs w:val="22"/>
        </w:rPr>
      </w:pPr>
    </w:p>
    <w:p w:rsidR="00EE6C6A" w:rsidRDefault="00EE6C6A">
      <w:pPr>
        <w:jc w:val="both"/>
        <w:rPr>
          <w:sz w:val="22"/>
          <w:szCs w:val="22"/>
        </w:rPr>
      </w:pPr>
    </w:p>
    <w:p w:rsidR="00EE6C6A" w:rsidRDefault="00EE6C6A">
      <w:pPr>
        <w:jc w:val="both"/>
        <w:rPr>
          <w:sz w:val="22"/>
          <w:szCs w:val="22"/>
        </w:rPr>
      </w:pPr>
    </w:p>
    <w:p w:rsidR="00EE6C6A" w:rsidRDefault="00317F1B">
      <w:pPr>
        <w:jc w:val="both"/>
        <w:rPr>
          <w:sz w:val="22"/>
          <w:szCs w:val="22"/>
        </w:rPr>
      </w:pPr>
      <w:r>
        <w:rPr>
          <w:sz w:val="22"/>
          <w:szCs w:val="22"/>
        </w:rPr>
        <w:t xml:space="preserve">     </w:t>
      </w:r>
      <w:r>
        <w:rPr>
          <w:b/>
          <w:sz w:val="22"/>
          <w:szCs w:val="22"/>
        </w:rPr>
        <w:t>JESÚS DAVID ARAQUE MEJÍA                  JUAN MANUEL DÍAZ MARTÍNEZ</w:t>
      </w:r>
    </w:p>
    <w:p w:rsidR="00EE6C6A" w:rsidRDefault="00317F1B">
      <w:pPr>
        <w:ind w:left="360" w:right="351"/>
        <w:jc w:val="both"/>
        <w:rPr>
          <w:sz w:val="22"/>
          <w:szCs w:val="22"/>
        </w:rPr>
      </w:pPr>
      <w:r>
        <w:rPr>
          <w:sz w:val="22"/>
          <w:szCs w:val="22"/>
        </w:rPr>
        <w:t xml:space="preserve">Concejal de Bogotá                                      Concejal de Bogotá </w:t>
      </w:r>
    </w:p>
    <w:p w:rsidR="00EE6C6A" w:rsidRDefault="00317F1B">
      <w:pPr>
        <w:ind w:left="360" w:right="351"/>
        <w:jc w:val="both"/>
        <w:rPr>
          <w:sz w:val="22"/>
          <w:szCs w:val="22"/>
        </w:rPr>
      </w:pPr>
      <w:r>
        <w:rPr>
          <w:sz w:val="22"/>
          <w:szCs w:val="22"/>
        </w:rPr>
        <w:t>Partido Nuevo Liberalismo                           Partido Nuevo Liberalismo</w:t>
      </w:r>
    </w:p>
    <w:p w:rsidR="00EE6C6A" w:rsidRDefault="00317F1B">
      <w:pPr>
        <w:ind w:left="360" w:right="351"/>
        <w:jc w:val="both"/>
        <w:rPr>
          <w:sz w:val="22"/>
          <w:szCs w:val="22"/>
        </w:rPr>
      </w:pPr>
      <w:r>
        <w:rPr>
          <w:sz w:val="22"/>
          <w:szCs w:val="22"/>
        </w:rPr>
        <w:t xml:space="preserve">  </w:t>
      </w:r>
    </w:p>
    <w:p w:rsidR="00EE6C6A" w:rsidRDefault="00317F1B">
      <w:pPr>
        <w:ind w:left="380"/>
        <w:jc w:val="both"/>
      </w:pPr>
      <w:r>
        <w:t xml:space="preserve">                                </w:t>
      </w: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EE6C6A">
      <w:pPr>
        <w:jc w:val="center"/>
        <w:rPr>
          <w:b/>
        </w:rPr>
      </w:pPr>
    </w:p>
    <w:p w:rsidR="00EE6C6A" w:rsidRDefault="00317F1B">
      <w:pPr>
        <w:jc w:val="center"/>
        <w:rPr>
          <w:b/>
          <w:sz w:val="22"/>
          <w:szCs w:val="22"/>
        </w:rPr>
      </w:pPr>
      <w:r>
        <w:rPr>
          <w:b/>
          <w:sz w:val="22"/>
          <w:szCs w:val="22"/>
        </w:rPr>
        <w:t xml:space="preserve">PROYECTO DE ACUERDO N° </w:t>
      </w:r>
      <w:r>
        <w:rPr>
          <w:b/>
          <w:sz w:val="22"/>
          <w:szCs w:val="22"/>
          <w:u w:val="single"/>
        </w:rPr>
        <w:t xml:space="preserve">   </w:t>
      </w:r>
      <w:r>
        <w:rPr>
          <w:b/>
          <w:sz w:val="22"/>
          <w:szCs w:val="22"/>
          <w:u w:val="single"/>
        </w:rPr>
        <w:tab/>
      </w:r>
      <w:r>
        <w:rPr>
          <w:b/>
          <w:sz w:val="22"/>
          <w:szCs w:val="22"/>
        </w:rPr>
        <w:t>DE 2025</w:t>
      </w:r>
    </w:p>
    <w:p w:rsidR="00EE6C6A" w:rsidRDefault="00EE6C6A">
      <w:pPr>
        <w:jc w:val="center"/>
        <w:rPr>
          <w:b/>
          <w:sz w:val="22"/>
          <w:szCs w:val="22"/>
        </w:rPr>
      </w:pPr>
    </w:p>
    <w:p w:rsidR="00EE6C6A" w:rsidRDefault="00317F1B">
      <w:pPr>
        <w:jc w:val="center"/>
        <w:rPr>
          <w:b/>
          <w:i/>
          <w:color w:val="FF0000"/>
          <w:sz w:val="22"/>
          <w:szCs w:val="22"/>
        </w:rPr>
      </w:pPr>
      <w:r>
        <w:rPr>
          <w:b/>
          <w:i/>
          <w:sz w:val="22"/>
          <w:szCs w:val="22"/>
        </w:rPr>
        <w:t>“Por medio del cual se establecen lineamientos de seguridad ciudadana en la movilidad intermediada por plataformas digitales en Bogotá D.C y se dictan otras disposiciones”</w:t>
      </w:r>
    </w:p>
    <w:p w:rsidR="00EE6C6A" w:rsidRDefault="00EE6C6A">
      <w:pPr>
        <w:ind w:right="351"/>
        <w:jc w:val="both"/>
        <w:rPr>
          <w:b/>
        </w:rPr>
      </w:pPr>
    </w:p>
    <w:p w:rsidR="00EE6C6A" w:rsidRDefault="00317F1B">
      <w:pPr>
        <w:ind w:left="360" w:right="351"/>
        <w:jc w:val="center"/>
        <w:rPr>
          <w:b/>
          <w:sz w:val="22"/>
          <w:szCs w:val="22"/>
        </w:rPr>
      </w:pPr>
      <w:r>
        <w:rPr>
          <w:b/>
          <w:sz w:val="22"/>
          <w:szCs w:val="22"/>
        </w:rPr>
        <w:t>EL CONCEJO DE BOGOTÁ</w:t>
      </w:r>
    </w:p>
    <w:p w:rsidR="00EE6C6A" w:rsidRDefault="00EE6C6A">
      <w:pPr>
        <w:ind w:left="360" w:right="351"/>
        <w:jc w:val="center"/>
        <w:rPr>
          <w:b/>
          <w:sz w:val="22"/>
          <w:szCs w:val="22"/>
        </w:rPr>
      </w:pPr>
    </w:p>
    <w:p w:rsidR="00EE6C6A" w:rsidRDefault="00317F1B">
      <w:pPr>
        <w:ind w:left="360"/>
        <w:jc w:val="center"/>
        <w:rPr>
          <w:sz w:val="22"/>
          <w:szCs w:val="22"/>
        </w:rPr>
      </w:pPr>
      <w:r>
        <w:rPr>
          <w:sz w:val="22"/>
          <w:szCs w:val="22"/>
        </w:rPr>
        <w:t>En ejercicio de sus atribuciones constitucionales y legales y, en especial de las que le confiere el numeral 1 y 25 del artículo 12 del Decreto Ley 1421 de 1993.</w:t>
      </w:r>
    </w:p>
    <w:p w:rsidR="00EE6C6A" w:rsidRDefault="00EE6C6A">
      <w:pPr>
        <w:ind w:left="360"/>
        <w:jc w:val="both"/>
        <w:rPr>
          <w:sz w:val="22"/>
          <w:szCs w:val="22"/>
        </w:rPr>
      </w:pPr>
    </w:p>
    <w:p w:rsidR="00EE6C6A" w:rsidRDefault="00317F1B">
      <w:pPr>
        <w:ind w:left="360"/>
        <w:jc w:val="both"/>
        <w:rPr>
          <w:b/>
          <w:sz w:val="22"/>
          <w:szCs w:val="22"/>
        </w:rPr>
      </w:pPr>
      <w:r>
        <w:rPr>
          <w:b/>
          <w:sz w:val="22"/>
          <w:szCs w:val="22"/>
        </w:rPr>
        <w:t xml:space="preserve">                                                        ACUERDA: </w:t>
      </w:r>
    </w:p>
    <w:p w:rsidR="00EE6C6A" w:rsidRDefault="00EE6C6A">
      <w:pPr>
        <w:ind w:left="360"/>
        <w:jc w:val="both"/>
        <w:rPr>
          <w:b/>
          <w:sz w:val="22"/>
          <w:szCs w:val="22"/>
        </w:rPr>
      </w:pPr>
    </w:p>
    <w:p w:rsidR="00EE6C6A" w:rsidRDefault="00317F1B">
      <w:pPr>
        <w:ind w:left="360"/>
        <w:jc w:val="both"/>
        <w:rPr>
          <w:sz w:val="22"/>
          <w:szCs w:val="22"/>
          <w:highlight w:val="white"/>
        </w:rPr>
      </w:pPr>
      <w:r>
        <w:rPr>
          <w:b/>
          <w:sz w:val="22"/>
          <w:szCs w:val="22"/>
          <w:highlight w:val="white"/>
        </w:rPr>
        <w:t xml:space="preserve">Artículo 1. OBJETO. </w:t>
      </w:r>
      <w:r>
        <w:rPr>
          <w:sz w:val="22"/>
          <w:szCs w:val="22"/>
          <w:highlight w:val="white"/>
        </w:rPr>
        <w:t>Establecer lineamientos de seguridad ciudadana en la movilidad intermediada u operada por las plataformas digitales en Bogotá, en aras de adoptar una estrategia integral que fortalezca las condiciones de seguridad en la interacción entre conductores, usuarios y autoridades en el Distrito Capital.</w:t>
      </w:r>
    </w:p>
    <w:p w:rsidR="00EE6C6A" w:rsidRDefault="00EE6C6A">
      <w:pPr>
        <w:ind w:left="360"/>
        <w:jc w:val="both"/>
        <w:rPr>
          <w:b/>
          <w:sz w:val="22"/>
          <w:szCs w:val="22"/>
          <w:highlight w:val="white"/>
        </w:rPr>
      </w:pPr>
    </w:p>
    <w:p w:rsidR="00EE6C6A" w:rsidRDefault="00317F1B">
      <w:pPr>
        <w:ind w:left="360"/>
        <w:jc w:val="both"/>
        <w:rPr>
          <w:sz w:val="22"/>
          <w:szCs w:val="22"/>
          <w:highlight w:val="white"/>
        </w:rPr>
      </w:pPr>
      <w:r>
        <w:rPr>
          <w:b/>
          <w:sz w:val="22"/>
          <w:szCs w:val="22"/>
          <w:highlight w:val="white"/>
        </w:rPr>
        <w:t xml:space="preserve">ARTÍCULO 2. DEFINICIONES. </w:t>
      </w:r>
      <w:r>
        <w:rPr>
          <w:sz w:val="22"/>
          <w:szCs w:val="22"/>
          <w:highlight w:val="white"/>
        </w:rPr>
        <w:t xml:space="preserve">Para efectos del presente acuerdo, se tendrán en cuenta estas definiciones: </w:t>
      </w:r>
    </w:p>
    <w:p w:rsidR="00EE6C6A" w:rsidRDefault="00EE6C6A">
      <w:pPr>
        <w:ind w:left="360"/>
        <w:jc w:val="both"/>
        <w:rPr>
          <w:b/>
          <w:sz w:val="22"/>
          <w:szCs w:val="22"/>
          <w:highlight w:val="white"/>
        </w:rPr>
      </w:pPr>
    </w:p>
    <w:p w:rsidR="00EE6C6A" w:rsidRDefault="00317F1B">
      <w:pPr>
        <w:ind w:left="360"/>
        <w:jc w:val="both"/>
        <w:rPr>
          <w:sz w:val="22"/>
          <w:szCs w:val="22"/>
          <w:highlight w:val="white"/>
        </w:rPr>
      </w:pPr>
      <w:r>
        <w:rPr>
          <w:b/>
          <w:sz w:val="22"/>
          <w:szCs w:val="22"/>
          <w:highlight w:val="white"/>
        </w:rPr>
        <w:t>Conductores:</w:t>
      </w:r>
      <w:r>
        <w:rPr>
          <w:sz w:val="22"/>
          <w:szCs w:val="22"/>
          <w:highlight w:val="white"/>
        </w:rPr>
        <w:t xml:space="preserve">  son las personas naturales que prestan servicios de movilidad a través de las plataformas digitales de intermediación y generan ingresos derivados de esta actividad. </w:t>
      </w:r>
    </w:p>
    <w:p w:rsidR="00EE6C6A" w:rsidRDefault="00EE6C6A">
      <w:pPr>
        <w:ind w:left="360"/>
        <w:jc w:val="both"/>
        <w:rPr>
          <w:b/>
          <w:sz w:val="22"/>
          <w:szCs w:val="22"/>
          <w:highlight w:val="white"/>
        </w:rPr>
      </w:pPr>
    </w:p>
    <w:p w:rsidR="00EE6C6A" w:rsidRDefault="00317F1B">
      <w:pPr>
        <w:ind w:left="360"/>
        <w:jc w:val="both"/>
        <w:rPr>
          <w:sz w:val="22"/>
          <w:szCs w:val="22"/>
          <w:highlight w:val="white"/>
        </w:rPr>
      </w:pPr>
      <w:r>
        <w:rPr>
          <w:b/>
          <w:sz w:val="22"/>
          <w:szCs w:val="22"/>
          <w:highlight w:val="white"/>
        </w:rPr>
        <w:t xml:space="preserve">Usuarios: </w:t>
      </w:r>
      <w:r>
        <w:rPr>
          <w:sz w:val="22"/>
          <w:szCs w:val="22"/>
          <w:highlight w:val="white"/>
        </w:rPr>
        <w:t>son las personas naturales que están registrados en una plataforma digital de intermediación, a través de la cual solicitan servicios de movilidad para desplazarse dentro del territorio del Distrito Capital.</w:t>
      </w:r>
    </w:p>
    <w:p w:rsidR="00EE6C6A" w:rsidRDefault="00EE6C6A">
      <w:pPr>
        <w:jc w:val="both"/>
        <w:rPr>
          <w:b/>
          <w:sz w:val="22"/>
          <w:szCs w:val="22"/>
          <w:highlight w:val="yellow"/>
        </w:rPr>
      </w:pPr>
    </w:p>
    <w:p w:rsidR="00EE6C6A" w:rsidRDefault="00317F1B">
      <w:pPr>
        <w:ind w:left="360"/>
        <w:jc w:val="both"/>
        <w:rPr>
          <w:sz w:val="22"/>
          <w:szCs w:val="22"/>
          <w:highlight w:val="white"/>
        </w:rPr>
      </w:pPr>
      <w:r>
        <w:rPr>
          <w:b/>
          <w:sz w:val="22"/>
          <w:szCs w:val="22"/>
          <w:highlight w:val="white"/>
        </w:rPr>
        <w:t xml:space="preserve">Artículo 3. LINEAMIENTOS GENERALES. </w:t>
      </w:r>
      <w:r>
        <w:rPr>
          <w:sz w:val="22"/>
          <w:szCs w:val="22"/>
          <w:highlight w:val="white"/>
        </w:rPr>
        <w:t xml:space="preserve">La Administración Distrital, en el marco de sus competencias, será responsable del diseño y ejecución de la estrategia de seguridad para los conductores y usuarios de plataformas digitales de intermediación de servicios de movilidad en Bogotá, así: </w:t>
      </w:r>
    </w:p>
    <w:p w:rsidR="00EE6C6A" w:rsidRDefault="00EE6C6A">
      <w:pPr>
        <w:ind w:left="360"/>
        <w:jc w:val="both"/>
        <w:rPr>
          <w:sz w:val="22"/>
          <w:szCs w:val="22"/>
          <w:highlight w:val="white"/>
        </w:rPr>
      </w:pPr>
    </w:p>
    <w:p w:rsidR="00EE6C6A" w:rsidRDefault="00317F1B">
      <w:pPr>
        <w:numPr>
          <w:ilvl w:val="0"/>
          <w:numId w:val="2"/>
        </w:numPr>
        <w:ind w:left="360" w:firstLine="0"/>
        <w:jc w:val="both"/>
        <w:rPr>
          <w:sz w:val="22"/>
          <w:szCs w:val="22"/>
          <w:highlight w:val="white"/>
        </w:rPr>
      </w:pPr>
      <w:r>
        <w:rPr>
          <w:b/>
          <w:sz w:val="22"/>
          <w:szCs w:val="22"/>
          <w:highlight w:val="white"/>
        </w:rPr>
        <w:t>Mesa de diálogo permanente con la Secretaría de Seguridad y Convivencia</w:t>
      </w:r>
    </w:p>
    <w:p w:rsidR="00EE6C6A" w:rsidRDefault="00317F1B">
      <w:pPr>
        <w:ind w:left="360"/>
        <w:jc w:val="both"/>
        <w:rPr>
          <w:sz w:val="22"/>
          <w:szCs w:val="22"/>
          <w:highlight w:val="white"/>
        </w:rPr>
      </w:pPr>
      <w:r>
        <w:rPr>
          <w:sz w:val="22"/>
          <w:szCs w:val="22"/>
          <w:highlight w:val="white"/>
        </w:rPr>
        <w:t>Crear un espacio de coordinación entre las autoridades distritales, las empresas de plataformas, los conductores, los usuarios y otros actores clave, con el propósito de monitorear y coordinar acciones para fortalecer la seguridad en la movilidad digital en la ciudad.</w:t>
      </w:r>
    </w:p>
    <w:p w:rsidR="00EE6C6A" w:rsidRDefault="00EE6C6A">
      <w:pPr>
        <w:ind w:left="360"/>
        <w:jc w:val="both"/>
        <w:rPr>
          <w:sz w:val="22"/>
          <w:szCs w:val="22"/>
          <w:highlight w:val="white"/>
        </w:rPr>
      </w:pPr>
    </w:p>
    <w:p w:rsidR="00EE6C6A" w:rsidRDefault="00317F1B">
      <w:pPr>
        <w:ind w:left="360"/>
        <w:jc w:val="both"/>
        <w:rPr>
          <w:sz w:val="22"/>
          <w:szCs w:val="22"/>
          <w:highlight w:val="white"/>
        </w:rPr>
      </w:pPr>
      <w:r>
        <w:rPr>
          <w:sz w:val="22"/>
          <w:szCs w:val="22"/>
          <w:highlight w:val="white"/>
        </w:rPr>
        <w:lastRenderedPageBreak/>
        <w:t>Este espacio proveerá insumos para el seguimiento a incidentes, el desarrollo de esfuerzos conjuntos, la evaluación de políticas y la revisión periódica de resultados, facilitando ajustes estratégicos según las necesidades detectadas.</w:t>
      </w:r>
    </w:p>
    <w:p w:rsidR="00EE6C6A" w:rsidRDefault="00EE6C6A">
      <w:pPr>
        <w:ind w:left="360"/>
        <w:jc w:val="both"/>
        <w:rPr>
          <w:sz w:val="22"/>
          <w:szCs w:val="22"/>
          <w:highlight w:val="white"/>
        </w:rPr>
      </w:pPr>
    </w:p>
    <w:p w:rsidR="00EE6C6A" w:rsidRDefault="00317F1B">
      <w:pPr>
        <w:numPr>
          <w:ilvl w:val="0"/>
          <w:numId w:val="2"/>
        </w:numPr>
        <w:ind w:left="360" w:firstLine="0"/>
        <w:jc w:val="both"/>
        <w:rPr>
          <w:sz w:val="22"/>
          <w:szCs w:val="22"/>
          <w:highlight w:val="white"/>
        </w:rPr>
      </w:pPr>
      <w:r>
        <w:rPr>
          <w:b/>
          <w:sz w:val="22"/>
          <w:szCs w:val="22"/>
        </w:rPr>
        <w:t>Estrategia de comunicación permanente</w:t>
      </w:r>
    </w:p>
    <w:p w:rsidR="00EE6C6A" w:rsidRDefault="00EE6C6A">
      <w:pPr>
        <w:ind w:left="360"/>
        <w:jc w:val="both"/>
        <w:rPr>
          <w:sz w:val="22"/>
          <w:szCs w:val="22"/>
        </w:rPr>
      </w:pPr>
    </w:p>
    <w:p w:rsidR="00EE6C6A" w:rsidRDefault="00317F1B">
      <w:pPr>
        <w:ind w:left="360"/>
        <w:jc w:val="both"/>
        <w:rPr>
          <w:sz w:val="22"/>
          <w:szCs w:val="22"/>
        </w:rPr>
      </w:pPr>
      <w:r>
        <w:rPr>
          <w:sz w:val="22"/>
          <w:szCs w:val="22"/>
        </w:rPr>
        <w:t>Implementar un canal de comunicación directo entre la administración distrital y las empresas de plataformas.</w:t>
      </w:r>
    </w:p>
    <w:p w:rsidR="00EE6C6A" w:rsidRDefault="00EE6C6A">
      <w:pPr>
        <w:ind w:left="360"/>
        <w:jc w:val="both"/>
        <w:rPr>
          <w:sz w:val="22"/>
          <w:szCs w:val="22"/>
        </w:rPr>
      </w:pPr>
    </w:p>
    <w:p w:rsidR="00EE6C6A" w:rsidRDefault="00317F1B">
      <w:pPr>
        <w:ind w:left="360"/>
        <w:jc w:val="both"/>
        <w:rPr>
          <w:sz w:val="22"/>
          <w:szCs w:val="22"/>
        </w:rPr>
      </w:pPr>
      <w:r>
        <w:rPr>
          <w:sz w:val="22"/>
          <w:szCs w:val="22"/>
        </w:rPr>
        <w:t xml:space="preserve">Este canal permitirá optimizar el intercambio de información agregada sobre incidentes, tendencias y alertas de seguridad para usuarios y conductores, así como la difusión permanente de información relevante en materia de seguridad, especialmente en zonas de </w:t>
      </w:r>
      <w:proofErr w:type="spellStart"/>
      <w:r>
        <w:rPr>
          <w:sz w:val="22"/>
          <w:szCs w:val="22"/>
        </w:rPr>
        <w:t>de</w:t>
      </w:r>
      <w:proofErr w:type="spellEnd"/>
      <w:r>
        <w:rPr>
          <w:sz w:val="22"/>
          <w:szCs w:val="22"/>
        </w:rPr>
        <w:t xml:space="preserve"> alto riesgo de la ciudad.</w:t>
      </w:r>
    </w:p>
    <w:p w:rsidR="00EE6C6A" w:rsidRDefault="00EE6C6A">
      <w:pPr>
        <w:ind w:left="360"/>
        <w:jc w:val="both"/>
        <w:rPr>
          <w:sz w:val="22"/>
          <w:szCs w:val="22"/>
        </w:rPr>
      </w:pPr>
    </w:p>
    <w:p w:rsidR="00EE6C6A" w:rsidRDefault="00317F1B">
      <w:pPr>
        <w:numPr>
          <w:ilvl w:val="0"/>
          <w:numId w:val="2"/>
        </w:numPr>
        <w:ind w:left="360" w:firstLine="0"/>
        <w:jc w:val="both"/>
        <w:rPr>
          <w:b/>
          <w:sz w:val="22"/>
          <w:szCs w:val="22"/>
        </w:rPr>
      </w:pPr>
      <w:r>
        <w:rPr>
          <w:b/>
          <w:sz w:val="22"/>
          <w:szCs w:val="22"/>
        </w:rPr>
        <w:t xml:space="preserve">Identificación de conductores: </w:t>
      </w:r>
    </w:p>
    <w:p w:rsidR="00EE6C6A" w:rsidRDefault="00317F1B">
      <w:pPr>
        <w:ind w:left="360"/>
        <w:jc w:val="both"/>
        <w:rPr>
          <w:sz w:val="22"/>
          <w:szCs w:val="22"/>
        </w:rPr>
      </w:pPr>
      <w:r>
        <w:rPr>
          <w:sz w:val="22"/>
          <w:szCs w:val="22"/>
        </w:rPr>
        <w:t>Implementar mecanismos voluntarios y verificables de identificación de conductores en las plataformas digitales a fin de garantizar la seguridad de los servicios, así como desarrollar campañas pedagógicas orientadas a fortalecer la seguridad y la confianza en la prestación de los servicios dentro del territorio del Distrito Capital.</w:t>
      </w:r>
    </w:p>
    <w:p w:rsidR="00EE6C6A" w:rsidRDefault="00EE6C6A">
      <w:pPr>
        <w:jc w:val="both"/>
        <w:rPr>
          <w:sz w:val="22"/>
          <w:szCs w:val="22"/>
        </w:rPr>
      </w:pPr>
    </w:p>
    <w:p w:rsidR="00EE6C6A" w:rsidRDefault="00317F1B">
      <w:pPr>
        <w:ind w:left="360"/>
        <w:jc w:val="both"/>
        <w:rPr>
          <w:sz w:val="22"/>
          <w:szCs w:val="22"/>
        </w:rPr>
      </w:pPr>
      <w:r>
        <w:rPr>
          <w:sz w:val="22"/>
          <w:szCs w:val="22"/>
        </w:rPr>
        <w:t>Dichos mecanismos podrán incluir requisitos mínimos para la aceptación de conductores, incluyendo procesos de validación de identidad y verificación de antecedentes, en estricto respeto de la normativa sobre protección de datos personales y de las competencias establecidas en la legislación nacional.</w:t>
      </w:r>
    </w:p>
    <w:p w:rsidR="00EE6C6A" w:rsidRDefault="00EE6C6A">
      <w:pPr>
        <w:ind w:left="360"/>
        <w:jc w:val="both"/>
        <w:rPr>
          <w:sz w:val="22"/>
          <w:szCs w:val="22"/>
        </w:rPr>
      </w:pPr>
    </w:p>
    <w:p w:rsidR="00EE6C6A" w:rsidRDefault="00317F1B">
      <w:pPr>
        <w:ind w:left="360"/>
        <w:jc w:val="both"/>
        <w:rPr>
          <w:sz w:val="22"/>
          <w:szCs w:val="22"/>
        </w:rPr>
      </w:pPr>
      <w:r>
        <w:rPr>
          <w:sz w:val="22"/>
          <w:szCs w:val="22"/>
        </w:rPr>
        <w:t>Su implementación buscará reducir riesgos en la interacción entre conductores y usuarios, y facilitar la cooperación con las autoridades en la atención de incidentes asociados a la movilidad digital.</w:t>
      </w:r>
    </w:p>
    <w:p w:rsidR="00EE6C6A" w:rsidRDefault="00EE6C6A">
      <w:pPr>
        <w:ind w:left="360"/>
        <w:jc w:val="both"/>
        <w:rPr>
          <w:sz w:val="22"/>
          <w:szCs w:val="22"/>
        </w:rPr>
      </w:pPr>
    </w:p>
    <w:p w:rsidR="00EE6C6A" w:rsidRDefault="00317F1B">
      <w:pPr>
        <w:numPr>
          <w:ilvl w:val="0"/>
          <w:numId w:val="2"/>
        </w:numPr>
        <w:ind w:left="360" w:firstLine="0"/>
        <w:jc w:val="both"/>
        <w:rPr>
          <w:color w:val="1F1F1F"/>
          <w:sz w:val="22"/>
          <w:szCs w:val="22"/>
          <w:highlight w:val="white"/>
        </w:rPr>
      </w:pPr>
      <w:r>
        <w:rPr>
          <w:b/>
          <w:color w:val="1F1F1F"/>
          <w:sz w:val="22"/>
          <w:szCs w:val="22"/>
          <w:highlight w:val="white"/>
        </w:rPr>
        <w:t>Contenido pedagógico para usuarios y conductores</w:t>
      </w:r>
    </w:p>
    <w:p w:rsidR="00EE6C6A" w:rsidRDefault="00317F1B">
      <w:pPr>
        <w:ind w:left="360"/>
        <w:jc w:val="both"/>
        <w:rPr>
          <w:color w:val="1F1F1F"/>
          <w:sz w:val="22"/>
          <w:szCs w:val="22"/>
          <w:highlight w:val="white"/>
        </w:rPr>
      </w:pPr>
      <w:r>
        <w:rPr>
          <w:color w:val="1F1F1F"/>
          <w:sz w:val="22"/>
          <w:szCs w:val="22"/>
          <w:highlight w:val="white"/>
        </w:rPr>
        <w:t xml:space="preserve">Fomentar acciones educativas digitales para los usuarios y conductores en temas de seguridad y autocuidado, con información sobre protocolos de seguridad y derechos y deberes en el uso de las plataformas digitales. </w:t>
      </w:r>
    </w:p>
    <w:p w:rsidR="00EE6C6A" w:rsidRDefault="00EE6C6A">
      <w:pPr>
        <w:ind w:left="360"/>
        <w:jc w:val="both"/>
        <w:rPr>
          <w:color w:val="1F1F1F"/>
          <w:sz w:val="22"/>
          <w:szCs w:val="22"/>
          <w:highlight w:val="white"/>
        </w:rPr>
      </w:pPr>
    </w:p>
    <w:p w:rsidR="00EE6C6A" w:rsidRDefault="00317F1B">
      <w:pPr>
        <w:numPr>
          <w:ilvl w:val="0"/>
          <w:numId w:val="2"/>
        </w:numPr>
        <w:ind w:left="360" w:firstLine="0"/>
        <w:jc w:val="both"/>
        <w:rPr>
          <w:color w:val="1F1F1F"/>
          <w:sz w:val="22"/>
          <w:szCs w:val="22"/>
          <w:highlight w:val="white"/>
        </w:rPr>
      </w:pPr>
      <w:r>
        <w:rPr>
          <w:b/>
          <w:color w:val="1F1F1F"/>
          <w:sz w:val="22"/>
          <w:szCs w:val="22"/>
          <w:highlight w:val="white"/>
        </w:rPr>
        <w:t>Identificación de seguridad de usuarios y vehículos:</w:t>
      </w:r>
    </w:p>
    <w:p w:rsidR="00EE6C6A" w:rsidRDefault="00317F1B">
      <w:pPr>
        <w:ind w:left="360"/>
        <w:jc w:val="both"/>
        <w:rPr>
          <w:sz w:val="22"/>
          <w:szCs w:val="22"/>
          <w:highlight w:val="white"/>
        </w:rPr>
      </w:pPr>
      <w:r>
        <w:rPr>
          <w:sz w:val="22"/>
          <w:szCs w:val="22"/>
          <w:highlight w:val="white"/>
        </w:rPr>
        <w:t>La estrategia integral de seguridad</w:t>
      </w:r>
      <w:r>
        <w:rPr>
          <w:b/>
          <w:sz w:val="22"/>
          <w:szCs w:val="22"/>
          <w:highlight w:val="white"/>
        </w:rPr>
        <w:t xml:space="preserve"> </w:t>
      </w:r>
      <w:r>
        <w:rPr>
          <w:sz w:val="22"/>
          <w:szCs w:val="22"/>
          <w:highlight w:val="white"/>
        </w:rPr>
        <w:t>también incluirá acciones enfocadas a que:</w:t>
      </w:r>
    </w:p>
    <w:p w:rsidR="00EE6C6A" w:rsidRDefault="00EE6C6A">
      <w:pPr>
        <w:ind w:left="360"/>
        <w:jc w:val="both"/>
        <w:rPr>
          <w:color w:val="1F1F1F"/>
          <w:sz w:val="22"/>
          <w:szCs w:val="22"/>
          <w:highlight w:val="white"/>
        </w:rPr>
      </w:pPr>
    </w:p>
    <w:p w:rsidR="00EE6C6A" w:rsidRDefault="00317F1B">
      <w:pPr>
        <w:numPr>
          <w:ilvl w:val="0"/>
          <w:numId w:val="1"/>
        </w:numPr>
        <w:jc w:val="both"/>
        <w:rPr>
          <w:sz w:val="22"/>
          <w:szCs w:val="22"/>
          <w:highlight w:val="white"/>
        </w:rPr>
      </w:pPr>
      <w:r>
        <w:rPr>
          <w:sz w:val="22"/>
          <w:szCs w:val="22"/>
          <w:highlight w:val="white"/>
        </w:rPr>
        <w:t>Los vehículos que se conectan a las plataformas para prestar el servicio de movilidad deben estar debidamente identificados dentro de la aplicación, con información visible sobre la matrícula y sus características.</w:t>
      </w:r>
    </w:p>
    <w:p w:rsidR="00EE6C6A" w:rsidRDefault="00EE6C6A">
      <w:pPr>
        <w:ind w:left="1440"/>
        <w:jc w:val="both"/>
        <w:rPr>
          <w:sz w:val="22"/>
          <w:szCs w:val="22"/>
          <w:highlight w:val="white"/>
        </w:rPr>
      </w:pPr>
    </w:p>
    <w:p w:rsidR="00EE6C6A" w:rsidRDefault="00317F1B">
      <w:pPr>
        <w:numPr>
          <w:ilvl w:val="0"/>
          <w:numId w:val="1"/>
        </w:numPr>
        <w:jc w:val="both"/>
        <w:rPr>
          <w:sz w:val="22"/>
          <w:szCs w:val="22"/>
          <w:highlight w:val="white"/>
        </w:rPr>
      </w:pPr>
      <w:r>
        <w:rPr>
          <w:sz w:val="22"/>
          <w:szCs w:val="22"/>
          <w:highlight w:val="white"/>
        </w:rPr>
        <w:lastRenderedPageBreak/>
        <w:t xml:space="preserve">Los conductores y usuarios visualizarán de manera clara, directa y accesible los costos del servicio, los términos, condiciones y las rutas sugeridas a través de la plataforma antes de iniciar cualquier transacción. </w:t>
      </w:r>
    </w:p>
    <w:p w:rsidR="00EE6C6A" w:rsidRDefault="00EE6C6A">
      <w:pPr>
        <w:ind w:left="1440"/>
        <w:jc w:val="both"/>
        <w:rPr>
          <w:sz w:val="22"/>
          <w:szCs w:val="22"/>
          <w:highlight w:val="white"/>
        </w:rPr>
      </w:pPr>
    </w:p>
    <w:p w:rsidR="00EE6C6A" w:rsidRDefault="00317F1B">
      <w:pPr>
        <w:numPr>
          <w:ilvl w:val="0"/>
          <w:numId w:val="1"/>
        </w:numPr>
        <w:jc w:val="both"/>
        <w:rPr>
          <w:sz w:val="22"/>
          <w:szCs w:val="22"/>
          <w:highlight w:val="white"/>
        </w:rPr>
      </w:pPr>
      <w:r>
        <w:rPr>
          <w:sz w:val="22"/>
          <w:szCs w:val="22"/>
          <w:highlight w:val="white"/>
        </w:rPr>
        <w:t>Se incorporen botones de alerta, pánico y emergencias en la plataforma</w:t>
      </w:r>
      <w:proofErr w:type="gramStart"/>
      <w:r>
        <w:rPr>
          <w:sz w:val="22"/>
          <w:szCs w:val="22"/>
          <w:highlight w:val="white"/>
        </w:rPr>
        <w:t>, ,</w:t>
      </w:r>
      <w:proofErr w:type="gramEnd"/>
      <w:r>
        <w:rPr>
          <w:sz w:val="22"/>
          <w:szCs w:val="22"/>
          <w:highlight w:val="white"/>
        </w:rPr>
        <w:t xml:space="preserve"> los cuales deberán estar conectados en tiempo real con las centrales de emergencia del Distrito Capital, para garantizar una respuesta rápida ante cualquier incidente. Así mismo, se incorporarán mecanismos de grabación de viajes.</w:t>
      </w:r>
    </w:p>
    <w:p w:rsidR="00EE6C6A" w:rsidRDefault="00EE6C6A">
      <w:pPr>
        <w:ind w:left="708"/>
        <w:rPr>
          <w:sz w:val="22"/>
          <w:szCs w:val="22"/>
          <w:highlight w:val="white"/>
        </w:rPr>
      </w:pPr>
    </w:p>
    <w:p w:rsidR="00EE6C6A" w:rsidRDefault="00317F1B">
      <w:pPr>
        <w:numPr>
          <w:ilvl w:val="0"/>
          <w:numId w:val="1"/>
        </w:numPr>
        <w:jc w:val="both"/>
        <w:rPr>
          <w:sz w:val="22"/>
          <w:szCs w:val="22"/>
          <w:highlight w:val="white"/>
        </w:rPr>
      </w:pPr>
      <w:r>
        <w:rPr>
          <w:sz w:val="22"/>
          <w:szCs w:val="22"/>
        </w:rPr>
        <w:t>Se implemente un sistema de información e identidad para usuarios y conductores en las plataformas, garantizando la seguridad y confianza del servicio. Este sistema deberá respetar en todo momento la normatividad vigente en materia de protección de datos personales. Adicionalmente, las plataformas deben aplicar requisitos mínimos para la aceptación de conductores, incluyendo validación de identidad y verificación de documentación, con el fin de reducir riesgos de seguridad en las interacciones y permitir la localización e identificación de los usuarios y conductores durante su interacción con la plataforma, con especial énfasis en el momento de su incorporación por primera vez.</w:t>
      </w:r>
    </w:p>
    <w:p w:rsidR="00EE6C6A" w:rsidRDefault="00EE6C6A">
      <w:pPr>
        <w:ind w:left="1440"/>
        <w:jc w:val="both"/>
        <w:rPr>
          <w:color w:val="1F1F1F"/>
          <w:sz w:val="22"/>
          <w:szCs w:val="22"/>
          <w:highlight w:val="white"/>
        </w:rPr>
      </w:pPr>
    </w:p>
    <w:p w:rsidR="00EE6C6A" w:rsidRDefault="00317F1B">
      <w:pPr>
        <w:numPr>
          <w:ilvl w:val="0"/>
          <w:numId w:val="1"/>
        </w:numPr>
        <w:jc w:val="both"/>
        <w:rPr>
          <w:sz w:val="22"/>
          <w:szCs w:val="22"/>
          <w:highlight w:val="white"/>
        </w:rPr>
      </w:pPr>
      <w:r>
        <w:rPr>
          <w:sz w:val="22"/>
          <w:szCs w:val="22"/>
          <w:highlight w:val="white"/>
        </w:rPr>
        <w:t xml:space="preserve">Se establezca un protocolo de respuesta rápida en coordinación con la Policía Metropolitana de Bogotá y otras autoridades pertinentes, para atender alertas generadas desde las plataformas, los conductores y los usuarios. </w:t>
      </w:r>
    </w:p>
    <w:p w:rsidR="00EE6C6A" w:rsidRDefault="00EE6C6A">
      <w:pPr>
        <w:ind w:left="1440"/>
        <w:jc w:val="both"/>
        <w:rPr>
          <w:sz w:val="22"/>
          <w:szCs w:val="22"/>
          <w:highlight w:val="white"/>
        </w:rPr>
      </w:pPr>
    </w:p>
    <w:p w:rsidR="00EE6C6A" w:rsidRDefault="00317F1B">
      <w:pPr>
        <w:numPr>
          <w:ilvl w:val="0"/>
          <w:numId w:val="1"/>
        </w:numPr>
        <w:jc w:val="both"/>
        <w:rPr>
          <w:sz w:val="22"/>
          <w:szCs w:val="22"/>
          <w:highlight w:val="white"/>
        </w:rPr>
      </w:pPr>
      <w:r>
        <w:rPr>
          <w:sz w:val="22"/>
          <w:szCs w:val="22"/>
          <w:highlight w:val="white"/>
        </w:rPr>
        <w:t>Se requiera con actividades pedagógicas que los conductores de vehículos que prestan servicios de movilidad a través de plataformas digitales en Bogotá, mantengan actualizada la documentación requerida por la ley, como el SOAT, la licencia de conducción y la revisión técnico mecánica.</w:t>
      </w:r>
    </w:p>
    <w:p w:rsidR="00EE6C6A" w:rsidRDefault="00EE6C6A">
      <w:pPr>
        <w:ind w:left="1440"/>
        <w:jc w:val="both"/>
        <w:rPr>
          <w:sz w:val="22"/>
          <w:szCs w:val="22"/>
          <w:highlight w:val="white"/>
        </w:rPr>
      </w:pPr>
    </w:p>
    <w:p w:rsidR="00EE6C6A" w:rsidRDefault="00317F1B">
      <w:pPr>
        <w:numPr>
          <w:ilvl w:val="0"/>
          <w:numId w:val="1"/>
        </w:numPr>
        <w:jc w:val="both"/>
        <w:rPr>
          <w:sz w:val="22"/>
          <w:szCs w:val="22"/>
          <w:highlight w:val="white"/>
        </w:rPr>
      </w:pPr>
      <w:r>
        <w:rPr>
          <w:sz w:val="22"/>
          <w:szCs w:val="22"/>
          <w:highlight w:val="white"/>
        </w:rPr>
        <w:t xml:space="preserve">Se fomenten las sesiones informativas en protocolos de seguridad y atención de emergencias para conductores, con el fin de fortalecer la protección y confianza en el servicio. </w:t>
      </w:r>
    </w:p>
    <w:p w:rsidR="00EE6C6A" w:rsidRDefault="00EE6C6A">
      <w:pPr>
        <w:ind w:left="708"/>
        <w:rPr>
          <w:sz w:val="22"/>
          <w:szCs w:val="22"/>
          <w:highlight w:val="white"/>
        </w:rPr>
      </w:pPr>
    </w:p>
    <w:p w:rsidR="00EE6C6A" w:rsidRDefault="00317F1B">
      <w:pPr>
        <w:numPr>
          <w:ilvl w:val="0"/>
          <w:numId w:val="1"/>
        </w:numPr>
        <w:jc w:val="both"/>
        <w:rPr>
          <w:sz w:val="22"/>
          <w:szCs w:val="22"/>
          <w:highlight w:val="white"/>
        </w:rPr>
      </w:pPr>
      <w:r>
        <w:rPr>
          <w:sz w:val="22"/>
          <w:szCs w:val="22"/>
          <w:highlight w:val="white"/>
        </w:rPr>
        <w:t>La participación activa de los conductores, usuarios y empresas de plataformas digitales será esencial para la efectividad de la estrategia. Las autoridades competentes promoverán campañas de sensibilización y educación para garantizar que los actores involucrados comprendan y apliquen las medidas de seguridad establecidas.</w:t>
      </w:r>
    </w:p>
    <w:p w:rsidR="00EE6C6A" w:rsidRDefault="00EE6C6A">
      <w:pPr>
        <w:ind w:left="360"/>
        <w:jc w:val="both"/>
        <w:rPr>
          <w:b/>
          <w:sz w:val="22"/>
          <w:szCs w:val="22"/>
          <w:highlight w:val="white"/>
        </w:rPr>
      </w:pPr>
    </w:p>
    <w:p w:rsidR="00EE6C6A" w:rsidRDefault="00317F1B">
      <w:pPr>
        <w:ind w:left="360"/>
        <w:jc w:val="both"/>
        <w:rPr>
          <w:b/>
          <w:sz w:val="22"/>
          <w:szCs w:val="22"/>
          <w:highlight w:val="white"/>
        </w:rPr>
      </w:pPr>
      <w:r>
        <w:rPr>
          <w:b/>
          <w:sz w:val="22"/>
          <w:szCs w:val="22"/>
          <w:highlight w:val="white"/>
        </w:rPr>
        <w:lastRenderedPageBreak/>
        <w:t xml:space="preserve">Artículo 4. SEGUIMIENTO. </w:t>
      </w:r>
      <w:r>
        <w:rPr>
          <w:sz w:val="22"/>
          <w:szCs w:val="22"/>
          <w:highlight w:val="white"/>
        </w:rPr>
        <w:t xml:space="preserve">La Secretaría Distrital de Seguridad y Convivencia presentará al Concejo de Bogotá, un informe de seguimiento de la implementación de la estrategia adoptada, con una periodicidad de 6 meses. </w:t>
      </w:r>
    </w:p>
    <w:p w:rsidR="00EE6C6A" w:rsidRDefault="00EE6C6A">
      <w:pPr>
        <w:tabs>
          <w:tab w:val="left" w:pos="3576"/>
          <w:tab w:val="left" w:pos="5617"/>
        </w:tabs>
        <w:ind w:left="360"/>
        <w:jc w:val="both"/>
        <w:rPr>
          <w:b/>
          <w:sz w:val="22"/>
          <w:szCs w:val="22"/>
        </w:rPr>
      </w:pPr>
    </w:p>
    <w:p w:rsidR="00EE6C6A" w:rsidRDefault="00317F1B">
      <w:pPr>
        <w:tabs>
          <w:tab w:val="left" w:pos="3576"/>
          <w:tab w:val="left" w:pos="5617"/>
        </w:tabs>
        <w:ind w:left="360"/>
        <w:jc w:val="both"/>
        <w:rPr>
          <w:b/>
          <w:sz w:val="22"/>
          <w:szCs w:val="22"/>
        </w:rPr>
      </w:pPr>
      <w:r>
        <w:rPr>
          <w:b/>
          <w:sz w:val="22"/>
          <w:szCs w:val="22"/>
        </w:rPr>
        <w:t>Artículo 5. VIGENCIA</w:t>
      </w:r>
      <w:r>
        <w:rPr>
          <w:sz w:val="22"/>
          <w:szCs w:val="22"/>
        </w:rPr>
        <w:t>. El presente acuerdo rige a partir de su publicación.</w:t>
      </w:r>
    </w:p>
    <w:p w:rsidR="00EE6C6A" w:rsidRDefault="00EE6C6A">
      <w:pPr>
        <w:tabs>
          <w:tab w:val="left" w:pos="3576"/>
          <w:tab w:val="left" w:pos="5617"/>
        </w:tabs>
        <w:jc w:val="both"/>
        <w:rPr>
          <w:sz w:val="22"/>
          <w:szCs w:val="22"/>
        </w:rPr>
      </w:pPr>
    </w:p>
    <w:p w:rsidR="00EE6C6A" w:rsidRDefault="00EE6C6A">
      <w:pPr>
        <w:jc w:val="both"/>
        <w:rPr>
          <w:b/>
        </w:rPr>
      </w:pPr>
    </w:p>
    <w:p w:rsidR="00EE6C6A" w:rsidRDefault="00317F1B">
      <w:pPr>
        <w:ind w:left="360"/>
        <w:jc w:val="both"/>
        <w:rPr>
          <w:b/>
          <w:i/>
          <w:sz w:val="16"/>
          <w:szCs w:val="16"/>
        </w:rPr>
      </w:pPr>
      <w:r>
        <w:rPr>
          <w:b/>
          <w:i/>
          <w:sz w:val="16"/>
          <w:szCs w:val="16"/>
        </w:rPr>
        <w:t>Referencias</w:t>
      </w:r>
    </w:p>
    <w:p w:rsidR="00EE6C6A" w:rsidRDefault="00EE6C6A">
      <w:pPr>
        <w:ind w:left="360"/>
        <w:jc w:val="both"/>
        <w:rPr>
          <w:b/>
          <w:i/>
          <w:sz w:val="16"/>
          <w:szCs w:val="16"/>
        </w:rPr>
      </w:pPr>
    </w:p>
    <w:p w:rsidR="00EE6C6A" w:rsidRDefault="00317F1B">
      <w:pPr>
        <w:numPr>
          <w:ilvl w:val="0"/>
          <w:numId w:val="3"/>
        </w:numPr>
        <w:rPr>
          <w:i/>
          <w:sz w:val="16"/>
          <w:szCs w:val="16"/>
        </w:rPr>
      </w:pPr>
      <w:r>
        <w:rPr>
          <w:i/>
          <w:sz w:val="16"/>
          <w:szCs w:val="16"/>
        </w:rPr>
        <w:t>Alcaldía Mayor de Bogotá. (1993). Decreto 1421 de 1993. Por el cual se dicta el régimen especial para el Distrito Capital de Santafé de Bogotá. Diario Oficial No. 40.999. Recuperado de https://www.alcaldiabogota.gov.co/sisjur/normas/Norma1.jsp?i=197</w:t>
      </w:r>
      <w:r>
        <w:rPr>
          <w:i/>
          <w:sz w:val="16"/>
          <w:szCs w:val="16"/>
        </w:rPr>
        <w:br/>
      </w:r>
    </w:p>
    <w:p w:rsidR="00EE6C6A" w:rsidRDefault="00317F1B">
      <w:pPr>
        <w:numPr>
          <w:ilvl w:val="0"/>
          <w:numId w:val="3"/>
        </w:numPr>
        <w:rPr>
          <w:i/>
          <w:sz w:val="16"/>
          <w:szCs w:val="16"/>
        </w:rPr>
      </w:pPr>
      <w:r>
        <w:rPr>
          <w:i/>
          <w:sz w:val="16"/>
          <w:szCs w:val="16"/>
        </w:rPr>
        <w:t>Concejo de Bogotá. (2019). Acuerdo 741 de 2019. Por el cual se expide el Reglamento Interno del Concejo de Bogotá, D.C. Recuperado de https://www.alcaldiabogota.gov.co/sisjur/normas/Norma1.jsp?i=83658</w:t>
      </w:r>
      <w:r>
        <w:rPr>
          <w:i/>
          <w:sz w:val="16"/>
          <w:szCs w:val="16"/>
        </w:rPr>
        <w:br/>
      </w:r>
    </w:p>
    <w:p w:rsidR="00EE6C6A" w:rsidRDefault="00317F1B">
      <w:pPr>
        <w:numPr>
          <w:ilvl w:val="0"/>
          <w:numId w:val="3"/>
        </w:numPr>
        <w:rPr>
          <w:i/>
          <w:sz w:val="16"/>
          <w:szCs w:val="16"/>
        </w:rPr>
      </w:pPr>
      <w:r>
        <w:rPr>
          <w:i/>
          <w:sz w:val="16"/>
          <w:szCs w:val="16"/>
        </w:rPr>
        <w:t>Concejo de Bogotá. (2024). Acuerdo 927 de 2024. Por el cual se adopta el Plan Distrital de Desarrollo 2024-2027 “Bogotá Camina Segura”. Recuperado de</w:t>
      </w:r>
      <w:hyperlink r:id="rId10">
        <w:r>
          <w:rPr>
            <w:i/>
            <w:sz w:val="16"/>
            <w:szCs w:val="16"/>
          </w:rPr>
          <w:t xml:space="preserve"> </w:t>
        </w:r>
      </w:hyperlink>
      <w:hyperlink r:id="rId11">
        <w:r>
          <w:rPr>
            <w:i/>
            <w:sz w:val="16"/>
            <w:szCs w:val="16"/>
            <w:u w:val="single"/>
          </w:rPr>
          <w:t>https://concejodebogota.gov.co/concejo/site/docs/20240124/asocfile/20240124201722/edicion_762_acuerdo_927_del_2024.pdf</w:t>
        </w:r>
        <w:r>
          <w:rPr>
            <w:i/>
            <w:sz w:val="16"/>
            <w:szCs w:val="16"/>
            <w:u w:val="single"/>
          </w:rPr>
          <w:br/>
        </w:r>
      </w:hyperlink>
    </w:p>
    <w:p w:rsidR="00EE6C6A" w:rsidRDefault="00317F1B">
      <w:pPr>
        <w:numPr>
          <w:ilvl w:val="0"/>
          <w:numId w:val="3"/>
        </w:numPr>
        <w:rPr>
          <w:i/>
          <w:sz w:val="16"/>
          <w:szCs w:val="16"/>
        </w:rPr>
      </w:pPr>
      <w:r>
        <w:rPr>
          <w:i/>
          <w:sz w:val="16"/>
          <w:szCs w:val="16"/>
        </w:rPr>
        <w:t>Concejo de Bogotá. (2021). Decreto 555 de 2021. Por medio del cual se adopta la revisión general del Plan de Ordenamiento Territorial de Bogotá D.C. (POT Bogotá Reverdece 2022-2035). Recuperado de</w:t>
      </w:r>
      <w:hyperlink r:id="rId12">
        <w:r>
          <w:rPr>
            <w:i/>
            <w:sz w:val="16"/>
            <w:szCs w:val="16"/>
          </w:rPr>
          <w:t xml:space="preserve"> </w:t>
        </w:r>
      </w:hyperlink>
      <w:hyperlink r:id="rId13">
        <w:r>
          <w:rPr>
            <w:i/>
            <w:sz w:val="16"/>
            <w:szCs w:val="16"/>
            <w:u w:val="single"/>
          </w:rPr>
          <w:t>https://www.alcaldiabogota.gov.co/sisjur/normas/Norma1.jsp?i=119582</w:t>
        </w:r>
        <w:r>
          <w:rPr>
            <w:i/>
            <w:sz w:val="16"/>
            <w:szCs w:val="16"/>
            <w:u w:val="single"/>
          </w:rPr>
          <w:br/>
        </w:r>
      </w:hyperlink>
    </w:p>
    <w:p w:rsidR="00EE6C6A" w:rsidRDefault="00317F1B">
      <w:pPr>
        <w:numPr>
          <w:ilvl w:val="0"/>
          <w:numId w:val="3"/>
        </w:numPr>
        <w:rPr>
          <w:i/>
          <w:sz w:val="16"/>
          <w:szCs w:val="16"/>
        </w:rPr>
      </w:pPr>
      <w:r>
        <w:rPr>
          <w:i/>
          <w:sz w:val="16"/>
          <w:szCs w:val="16"/>
        </w:rPr>
        <w:t>Congreso de la República de Colombia. (2003). Ley 819 de 2003. Por la cual se dictan normas orgánicas en materia de presupuesto, responsabilidad y transparencia fiscal. Diario Oficial No. 45.243.</w:t>
      </w:r>
      <w:r>
        <w:rPr>
          <w:i/>
          <w:sz w:val="16"/>
          <w:szCs w:val="16"/>
        </w:rPr>
        <w:br/>
      </w:r>
    </w:p>
    <w:p w:rsidR="00EE6C6A" w:rsidRDefault="00317F1B">
      <w:pPr>
        <w:numPr>
          <w:ilvl w:val="0"/>
          <w:numId w:val="3"/>
        </w:numPr>
        <w:rPr>
          <w:i/>
          <w:sz w:val="16"/>
          <w:szCs w:val="16"/>
        </w:rPr>
      </w:pPr>
      <w:r>
        <w:rPr>
          <w:i/>
          <w:sz w:val="16"/>
          <w:szCs w:val="16"/>
        </w:rPr>
        <w:t>Corte Suprema de Justicia. (2023). Sentencia SC370-2023. Sobre el uso de plataformas móviles y relaciones contractuales. Bogotá, Colombia.</w:t>
      </w:r>
      <w:r>
        <w:rPr>
          <w:i/>
          <w:sz w:val="16"/>
          <w:szCs w:val="16"/>
        </w:rPr>
        <w:br/>
      </w:r>
    </w:p>
    <w:p w:rsidR="00EE6C6A" w:rsidRDefault="00317F1B">
      <w:pPr>
        <w:numPr>
          <w:ilvl w:val="0"/>
          <w:numId w:val="3"/>
        </w:numPr>
        <w:rPr>
          <w:i/>
          <w:sz w:val="16"/>
          <w:szCs w:val="16"/>
        </w:rPr>
      </w:pPr>
      <w:r>
        <w:rPr>
          <w:i/>
          <w:sz w:val="16"/>
          <w:szCs w:val="16"/>
        </w:rPr>
        <w:t>Tribunal Administrativo de Cundinamarca. (2025). Sentencia de primera instancia – Acción Popular interpuesta por Hugo Ospina sobre plataformas de movilidad. Bogotá, Colombia.</w:t>
      </w:r>
      <w:r>
        <w:rPr>
          <w:i/>
          <w:sz w:val="16"/>
          <w:szCs w:val="16"/>
        </w:rPr>
        <w:br/>
      </w:r>
    </w:p>
    <w:p w:rsidR="00EE6C6A" w:rsidRDefault="00317F1B">
      <w:pPr>
        <w:numPr>
          <w:ilvl w:val="0"/>
          <w:numId w:val="3"/>
        </w:numPr>
        <w:rPr>
          <w:i/>
          <w:sz w:val="16"/>
          <w:szCs w:val="16"/>
        </w:rPr>
      </w:pPr>
      <w:r>
        <w:rPr>
          <w:i/>
          <w:sz w:val="16"/>
          <w:szCs w:val="16"/>
        </w:rPr>
        <w:t>Programa de las Naciones Unidas para el Desarrollo – PNUD. (s. f.). Objetivos de Desarrollo Sostenible. Recuperado de</w:t>
      </w:r>
      <w:hyperlink r:id="rId14">
        <w:r>
          <w:rPr>
            <w:i/>
            <w:sz w:val="16"/>
            <w:szCs w:val="16"/>
          </w:rPr>
          <w:t xml:space="preserve"> </w:t>
        </w:r>
      </w:hyperlink>
      <w:hyperlink r:id="rId15">
        <w:r>
          <w:rPr>
            <w:i/>
            <w:sz w:val="16"/>
            <w:szCs w:val="16"/>
            <w:u w:val="single"/>
          </w:rPr>
          <w:t>https://www.undp.org/es/sustainable-development-goals</w:t>
        </w:r>
      </w:hyperlink>
    </w:p>
    <w:p w:rsidR="00EE6C6A" w:rsidRDefault="00317F1B">
      <w:pPr>
        <w:numPr>
          <w:ilvl w:val="0"/>
          <w:numId w:val="3"/>
        </w:numPr>
        <w:rPr>
          <w:i/>
          <w:sz w:val="16"/>
          <w:szCs w:val="16"/>
        </w:rPr>
      </w:pPr>
      <w:r>
        <w:rPr>
          <w:i/>
          <w:sz w:val="16"/>
          <w:szCs w:val="16"/>
        </w:rPr>
        <w:t xml:space="preserve">Botero Sánchez, M. E., &amp; Alegría Paredes, D. P. (2017). ¿La nueva tecnología en el sector transporte obstaculiza o fortalece el servicio público? Revista Verba Iuris, 12(37), 25-41. Universidad Santo Tomás. Disponible en el documento </w:t>
      </w:r>
      <w:r>
        <w:rPr>
          <w:b/>
          <w:i/>
          <w:sz w:val="16"/>
          <w:szCs w:val="16"/>
        </w:rPr>
        <w:t>“Tecnología, transporte público, plataformas, competencia desleal, regulación”</w:t>
      </w:r>
      <w:r>
        <w:rPr>
          <w:i/>
          <w:sz w:val="16"/>
          <w:szCs w:val="16"/>
        </w:rPr>
        <w:t>.</w:t>
      </w:r>
    </w:p>
    <w:p w:rsidR="00EE6C6A" w:rsidRDefault="00317F1B">
      <w:pPr>
        <w:numPr>
          <w:ilvl w:val="0"/>
          <w:numId w:val="3"/>
        </w:numPr>
        <w:rPr>
          <w:i/>
          <w:sz w:val="16"/>
          <w:szCs w:val="16"/>
        </w:rPr>
      </w:pPr>
      <w:r>
        <w:rPr>
          <w:i/>
          <w:sz w:val="16"/>
          <w:szCs w:val="16"/>
        </w:rPr>
        <w:t xml:space="preserve">Fernández Ruiz, P. J. (2013). Vehicular ad hoc </w:t>
      </w:r>
      <w:proofErr w:type="spellStart"/>
      <w:r>
        <w:rPr>
          <w:i/>
          <w:sz w:val="16"/>
          <w:szCs w:val="16"/>
        </w:rPr>
        <w:t>networks</w:t>
      </w:r>
      <w:proofErr w:type="spellEnd"/>
      <w:r>
        <w:rPr>
          <w:i/>
          <w:sz w:val="16"/>
          <w:szCs w:val="16"/>
        </w:rPr>
        <w:t xml:space="preserve">: </w:t>
      </w:r>
      <w:proofErr w:type="spellStart"/>
      <w:r>
        <w:rPr>
          <w:i/>
          <w:sz w:val="16"/>
          <w:szCs w:val="16"/>
        </w:rPr>
        <w:t>deployment</w:t>
      </w:r>
      <w:proofErr w:type="spellEnd"/>
      <w:r>
        <w:rPr>
          <w:i/>
          <w:sz w:val="16"/>
          <w:szCs w:val="16"/>
        </w:rPr>
        <w:t xml:space="preserve">, </w:t>
      </w:r>
      <w:proofErr w:type="spellStart"/>
      <w:r>
        <w:rPr>
          <w:i/>
          <w:sz w:val="16"/>
          <w:szCs w:val="16"/>
        </w:rPr>
        <w:t>security</w:t>
      </w:r>
      <w:proofErr w:type="spellEnd"/>
      <w:r>
        <w:rPr>
          <w:i/>
          <w:sz w:val="16"/>
          <w:szCs w:val="16"/>
        </w:rPr>
        <w:t xml:space="preserve"> and </w:t>
      </w:r>
      <w:proofErr w:type="spellStart"/>
      <w:r>
        <w:rPr>
          <w:i/>
          <w:sz w:val="16"/>
          <w:szCs w:val="16"/>
        </w:rPr>
        <w:t>standardization</w:t>
      </w:r>
      <w:proofErr w:type="spellEnd"/>
      <w:r>
        <w:rPr>
          <w:i/>
          <w:sz w:val="16"/>
          <w:szCs w:val="16"/>
        </w:rPr>
        <w:t xml:space="preserve"> </w:t>
      </w:r>
      <w:proofErr w:type="spellStart"/>
      <w:r>
        <w:rPr>
          <w:i/>
          <w:sz w:val="16"/>
          <w:szCs w:val="16"/>
        </w:rPr>
        <w:t>issues</w:t>
      </w:r>
      <w:proofErr w:type="spellEnd"/>
      <w:r>
        <w:rPr>
          <w:i/>
          <w:sz w:val="16"/>
          <w:szCs w:val="16"/>
        </w:rPr>
        <w:t xml:space="preserve"> [Tesis doctoral]. Universidad Politécnica de Madrid. Disponible en el documento </w:t>
      </w:r>
      <w:r>
        <w:rPr>
          <w:b/>
          <w:i/>
          <w:sz w:val="16"/>
          <w:szCs w:val="16"/>
        </w:rPr>
        <w:t>“Tesis Doctoral - Pedro Javier Fernández Ruiz - RD778-1998”</w:t>
      </w:r>
      <w:r>
        <w:rPr>
          <w:i/>
          <w:sz w:val="16"/>
          <w:szCs w:val="16"/>
        </w:rPr>
        <w:t>.</w:t>
      </w:r>
    </w:p>
    <w:p w:rsidR="00EE6C6A" w:rsidRDefault="00317F1B">
      <w:pPr>
        <w:numPr>
          <w:ilvl w:val="0"/>
          <w:numId w:val="3"/>
        </w:numPr>
        <w:rPr>
          <w:i/>
          <w:sz w:val="16"/>
          <w:szCs w:val="16"/>
        </w:rPr>
      </w:pPr>
      <w:r>
        <w:rPr>
          <w:i/>
          <w:sz w:val="16"/>
          <w:szCs w:val="16"/>
        </w:rPr>
        <w:t xml:space="preserve">Sánchez, A. (2006). Movilidad y planeamiento sostenible. </w:t>
      </w:r>
      <w:proofErr w:type="spellStart"/>
      <w:r>
        <w:rPr>
          <w:i/>
          <w:sz w:val="16"/>
          <w:szCs w:val="16"/>
        </w:rPr>
        <w:t>Dialnet</w:t>
      </w:r>
      <w:proofErr w:type="spellEnd"/>
      <w:r>
        <w:rPr>
          <w:i/>
          <w:sz w:val="16"/>
          <w:szCs w:val="16"/>
        </w:rPr>
        <w:t xml:space="preserve">. Disponible en el documento </w:t>
      </w:r>
      <w:r>
        <w:rPr>
          <w:b/>
          <w:i/>
          <w:sz w:val="16"/>
          <w:szCs w:val="16"/>
        </w:rPr>
        <w:t>“</w:t>
      </w:r>
      <w:proofErr w:type="spellStart"/>
      <w:r>
        <w:rPr>
          <w:b/>
          <w:i/>
          <w:sz w:val="16"/>
          <w:szCs w:val="16"/>
        </w:rPr>
        <w:t>Dialnet-MovilidadY</w:t>
      </w:r>
      <w:proofErr w:type="spellEnd"/>
      <w:r>
        <w:rPr>
          <w:b/>
          <w:i/>
          <w:sz w:val="16"/>
          <w:szCs w:val="16"/>
        </w:rPr>
        <w:t xml:space="preserve"> PlaneamientoSostenible-242496”</w:t>
      </w:r>
      <w:r>
        <w:rPr>
          <w:i/>
          <w:sz w:val="16"/>
          <w:szCs w:val="16"/>
        </w:rPr>
        <w:t>.</w:t>
      </w:r>
    </w:p>
    <w:p w:rsidR="00EE6C6A" w:rsidRDefault="00317F1B">
      <w:pPr>
        <w:numPr>
          <w:ilvl w:val="0"/>
          <w:numId w:val="3"/>
        </w:numPr>
        <w:rPr>
          <w:i/>
          <w:sz w:val="16"/>
          <w:szCs w:val="16"/>
        </w:rPr>
      </w:pPr>
      <w:r>
        <w:rPr>
          <w:i/>
          <w:sz w:val="16"/>
          <w:szCs w:val="16"/>
        </w:rPr>
        <w:t>Galvis Restrepo, F. A. (2016). Aplicaciones móviles para el transporte: ¿Un responsable más en los accidentes de tránsito? [Trabajo académico].</w:t>
      </w:r>
    </w:p>
    <w:p w:rsidR="00EE6C6A" w:rsidRDefault="00317F1B">
      <w:pPr>
        <w:numPr>
          <w:ilvl w:val="0"/>
          <w:numId w:val="3"/>
        </w:numPr>
        <w:rPr>
          <w:i/>
          <w:sz w:val="16"/>
          <w:szCs w:val="16"/>
        </w:rPr>
      </w:pPr>
      <w:proofErr w:type="spellStart"/>
      <w:r>
        <w:rPr>
          <w:i/>
          <w:sz w:val="16"/>
          <w:szCs w:val="16"/>
        </w:rPr>
        <w:t>Szalaty</w:t>
      </w:r>
      <w:proofErr w:type="spellEnd"/>
      <w:r>
        <w:rPr>
          <w:i/>
          <w:sz w:val="16"/>
          <w:szCs w:val="16"/>
        </w:rPr>
        <w:t xml:space="preserve"> </w:t>
      </w:r>
      <w:proofErr w:type="spellStart"/>
      <w:r>
        <w:rPr>
          <w:i/>
          <w:sz w:val="16"/>
          <w:szCs w:val="16"/>
        </w:rPr>
        <w:t>Szalaty</w:t>
      </w:r>
      <w:proofErr w:type="spellEnd"/>
      <w:r>
        <w:rPr>
          <w:i/>
          <w:sz w:val="16"/>
          <w:szCs w:val="16"/>
        </w:rPr>
        <w:t>, Z. E. (2020). Estudio de seguridad en aplicaciones de transporte. Trabajo de Fin de Grado en Ingeniería Informática y Sistemas, Universidad de La Laguna</w:t>
      </w:r>
    </w:p>
    <w:p w:rsidR="00EE6C6A" w:rsidRDefault="00EE6C6A">
      <w:pPr>
        <w:ind w:left="360"/>
        <w:rPr>
          <w:i/>
          <w:sz w:val="16"/>
          <w:szCs w:val="16"/>
        </w:rPr>
      </w:pPr>
    </w:p>
    <w:p w:rsidR="00EE6C6A" w:rsidRDefault="00EE6C6A">
      <w:pPr>
        <w:ind w:left="360"/>
        <w:rPr>
          <w:i/>
          <w:sz w:val="16"/>
          <w:szCs w:val="16"/>
        </w:rPr>
      </w:pPr>
    </w:p>
    <w:p w:rsidR="00EE6C6A" w:rsidRDefault="00EE6C6A">
      <w:pPr>
        <w:rPr>
          <w:i/>
          <w:sz w:val="16"/>
          <w:szCs w:val="16"/>
        </w:rPr>
      </w:pPr>
    </w:p>
    <w:p w:rsidR="00EE6C6A" w:rsidRDefault="00EE6C6A">
      <w:pPr>
        <w:rPr>
          <w:i/>
          <w:sz w:val="16"/>
          <w:szCs w:val="16"/>
        </w:rPr>
      </w:pPr>
    </w:p>
    <w:sectPr w:rsidR="00EE6C6A">
      <w:headerReference w:type="default" r:id="rId16"/>
      <w:footerReference w:type="even" r:id="rId17"/>
      <w:footerReference w:type="default" r:id="rId18"/>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7F1B" w:rsidRDefault="00317F1B">
      <w:r>
        <w:separator/>
      </w:r>
    </w:p>
  </w:endnote>
  <w:endnote w:type="continuationSeparator" w:id="0">
    <w:p w:rsidR="00317F1B" w:rsidRDefault="00317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F1CA3DA6-B243-4B97-A5FF-CE699B3E318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12C7EE2F-98B4-4181-AC14-7B278A882DE1}"/>
    <w:embedBold r:id="rId3" w:fontKey="{21177BE6-F1CA-475B-92EF-DD53CBFBFBC6}"/>
    <w:embedBoldItalic r:id="rId4" w:fontKey="{C6DEF779-53F2-4798-AEE7-359E467EEE22}"/>
  </w:font>
  <w:font w:name="Tahoma">
    <w:panose1 w:val="020B0604030504040204"/>
    <w:charset w:val="00"/>
    <w:family w:val="swiss"/>
    <w:pitch w:val="variable"/>
    <w:sig w:usb0="E1002EFF" w:usb1="C000605B" w:usb2="00000029" w:usb3="00000000" w:csb0="000101FF" w:csb1="00000000"/>
    <w:embedRegular r:id="rId5" w:fontKey="{4109E00D-B3E9-4E0D-9407-018F3B63B122}"/>
  </w:font>
  <w:font w:name="Calibri">
    <w:panose1 w:val="020F0502020204030204"/>
    <w:charset w:val="00"/>
    <w:family w:val="swiss"/>
    <w:pitch w:val="variable"/>
    <w:sig w:usb0="E4002EFF" w:usb1="C000247B" w:usb2="00000009" w:usb3="00000000" w:csb0="000001FF" w:csb1="00000000"/>
    <w:embedRegular r:id="rId6" w:fontKey="{4399538A-DFEC-4FD5-8F95-E5E097B34193}"/>
    <w:embedBold r:id="rId7" w:fontKey="{1888883A-CF89-4016-9CE3-18CAFBDC7192}"/>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8" w:fontKey="{3AF92FBE-A5C6-4B3A-9147-B73176BB4A3B}"/>
    <w:embedItalic r:id="rId9" w:fontKey="{92309AFD-E901-44DD-B476-D37C2611EA8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6C6A" w:rsidRDefault="00317F1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rsidR="00EE6C6A" w:rsidRDefault="00EE6C6A">
    <w:pPr>
      <w:pBdr>
        <w:top w:val="nil"/>
        <w:left w:val="nil"/>
        <w:bottom w:val="nil"/>
        <w:right w:val="nil"/>
        <w:between w:val="nil"/>
      </w:pBdr>
      <w:tabs>
        <w:tab w:val="center" w:pos="4252"/>
        <w:tab w:val="right" w:pos="8504"/>
      </w:tabs>
      <w:ind w:right="360"/>
      <w:rPr>
        <w:color w:val="000000"/>
      </w:rPr>
    </w:pPr>
  </w:p>
  <w:p w:rsidR="00EE6C6A" w:rsidRDefault="00EE6C6A"/>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6C6A" w:rsidRDefault="00EE6C6A">
    <w:pPr>
      <w:pBdr>
        <w:top w:val="nil"/>
        <w:left w:val="nil"/>
        <w:bottom w:val="nil"/>
        <w:right w:val="nil"/>
        <w:between w:val="nil"/>
      </w:pBdr>
      <w:tabs>
        <w:tab w:val="center" w:pos="4252"/>
        <w:tab w:val="right" w:pos="8504"/>
      </w:tabs>
      <w:jc w:val="center"/>
      <w:rPr>
        <w:color w:val="000000"/>
        <w:sz w:val="18"/>
        <w:szCs w:val="18"/>
      </w:rPr>
    </w:pPr>
  </w:p>
  <w:p w:rsidR="00EE6C6A" w:rsidRDefault="00EE6C6A">
    <w:pPr>
      <w:pBdr>
        <w:top w:val="nil"/>
        <w:left w:val="nil"/>
        <w:bottom w:val="nil"/>
        <w:right w:val="nil"/>
        <w:between w:val="nil"/>
      </w:pBdr>
      <w:tabs>
        <w:tab w:val="center" w:pos="4252"/>
        <w:tab w:val="right" w:pos="8504"/>
      </w:tabs>
      <w:jc w:val="center"/>
      <w:rPr>
        <w:color w:val="000000"/>
        <w:sz w:val="18"/>
        <w:szCs w:val="18"/>
      </w:rPr>
    </w:pPr>
  </w:p>
  <w:p w:rsidR="00EE6C6A" w:rsidRDefault="00EE6C6A">
    <w:pPr>
      <w:pBdr>
        <w:top w:val="nil"/>
        <w:left w:val="nil"/>
        <w:bottom w:val="nil"/>
        <w:right w:val="nil"/>
        <w:between w:val="nil"/>
      </w:pBdr>
      <w:tabs>
        <w:tab w:val="center" w:pos="4252"/>
        <w:tab w:val="right" w:pos="8504"/>
      </w:tabs>
      <w:jc w:val="center"/>
      <w:rPr>
        <w:color w:val="000000"/>
        <w:sz w:val="16"/>
        <w:szCs w:val="16"/>
      </w:rPr>
    </w:pPr>
  </w:p>
  <w:p w:rsidR="00EE6C6A" w:rsidRDefault="00EE6C6A">
    <w:pPr>
      <w:pBdr>
        <w:top w:val="nil"/>
        <w:left w:val="nil"/>
        <w:bottom w:val="nil"/>
        <w:right w:val="nil"/>
        <w:between w:val="nil"/>
      </w:pBdr>
      <w:tabs>
        <w:tab w:val="center" w:pos="4252"/>
        <w:tab w:val="right" w:pos="8504"/>
      </w:tabs>
      <w:rPr>
        <w:color w:val="000000"/>
        <w:sz w:val="16"/>
        <w:szCs w:val="16"/>
      </w:rPr>
    </w:pPr>
  </w:p>
  <w:p w:rsidR="00EE6C6A" w:rsidRDefault="00EE6C6A">
    <w:pPr>
      <w:pBdr>
        <w:top w:val="nil"/>
        <w:left w:val="nil"/>
        <w:bottom w:val="nil"/>
        <w:right w:val="nil"/>
        <w:between w:val="nil"/>
      </w:pBdr>
      <w:tabs>
        <w:tab w:val="center" w:pos="4252"/>
        <w:tab w:val="right" w:pos="8504"/>
      </w:tabs>
      <w:rPr>
        <w:color w:val="000000"/>
        <w:sz w:val="16"/>
        <w:szCs w:val="16"/>
      </w:rPr>
    </w:pPr>
  </w:p>
  <w:p w:rsidR="00EE6C6A" w:rsidRDefault="00EE6C6A">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7F1B" w:rsidRDefault="00317F1B">
      <w:r>
        <w:separator/>
      </w:r>
    </w:p>
  </w:footnote>
  <w:footnote w:type="continuationSeparator" w:id="0">
    <w:p w:rsidR="00317F1B" w:rsidRDefault="00317F1B">
      <w:r>
        <w:continuationSeparator/>
      </w:r>
    </w:p>
  </w:footnote>
  <w:footnote w:id="1">
    <w:p w:rsidR="00EE6C6A" w:rsidRDefault="00317F1B">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Encuesta Polimétrica de Cifras y Conceptos. Octubre de 2024.</w:t>
      </w:r>
    </w:p>
  </w:footnote>
  <w:footnote w:id="2">
    <w:p w:rsidR="00EE6C6A" w:rsidRDefault="00317F1B">
      <w:pPr>
        <w:pBdr>
          <w:top w:val="nil"/>
          <w:left w:val="nil"/>
          <w:bottom w:val="nil"/>
          <w:right w:val="nil"/>
          <w:between w:val="nil"/>
        </w:pBdr>
        <w:rPr>
          <w:sz w:val="16"/>
          <w:szCs w:val="16"/>
        </w:rPr>
      </w:pPr>
      <w:r>
        <w:rPr>
          <w:vertAlign w:val="superscript"/>
        </w:rPr>
        <w:footnoteRef/>
      </w:r>
      <w:r>
        <w:rPr>
          <w:sz w:val="16"/>
          <w:szCs w:val="16"/>
        </w:rPr>
        <w:t xml:space="preserve"> Plataformas digitales como </w:t>
      </w:r>
      <w:proofErr w:type="spellStart"/>
      <w:r>
        <w:rPr>
          <w:sz w:val="16"/>
          <w:szCs w:val="16"/>
        </w:rPr>
        <w:t>DiDi</w:t>
      </w:r>
      <w:proofErr w:type="spellEnd"/>
      <w:r>
        <w:rPr>
          <w:sz w:val="16"/>
          <w:szCs w:val="16"/>
        </w:rPr>
        <w:t xml:space="preserve"> actualmente disponen de herramientas tecnológicas para asistir a las autoridades de seguridad en procesos investigativos o policiales. Prueba de ello es que, solo durante 2024, se registraron 262 solicitudes de información por parte de las autoridades a través de este portal, y de enero a junio de 2025, 160 solicitudes.</w:t>
      </w:r>
    </w:p>
  </w:footnote>
  <w:footnote w:id="3">
    <w:p w:rsidR="00EE6C6A" w:rsidRDefault="00317F1B">
      <w:pPr>
        <w:pBdr>
          <w:top w:val="nil"/>
          <w:left w:val="nil"/>
          <w:bottom w:val="nil"/>
          <w:right w:val="nil"/>
          <w:between w:val="nil"/>
        </w:pBdr>
        <w:rPr>
          <w:sz w:val="16"/>
          <w:szCs w:val="16"/>
        </w:rPr>
      </w:pPr>
      <w:r>
        <w:rPr>
          <w:vertAlign w:val="superscript"/>
        </w:rPr>
        <w:footnoteRef/>
      </w:r>
      <w:r>
        <w:rPr>
          <w:sz w:val="16"/>
          <w:szCs w:val="16"/>
        </w:rPr>
        <w:t xml:space="preserve"> Tribunal Administrativo de Cundinamarca. Sección primera, subsección B. Sentencia del expediente 250002341000201502152.00. MP Óscar Armando </w:t>
      </w:r>
      <w:proofErr w:type="spellStart"/>
      <w:r>
        <w:rPr>
          <w:sz w:val="16"/>
          <w:szCs w:val="16"/>
        </w:rPr>
        <w:t>Dimaté</w:t>
      </w:r>
      <w:proofErr w:type="spellEnd"/>
      <w:r>
        <w:rPr>
          <w:sz w:val="16"/>
          <w:szCs w:val="16"/>
        </w:rPr>
        <w:t xml:space="preserve"> Cárdenas. 24 de julio de 2025.</w:t>
      </w:r>
    </w:p>
  </w:footnote>
  <w:footnote w:id="4">
    <w:p w:rsidR="00EE6C6A" w:rsidRDefault="00317F1B">
      <w:pPr>
        <w:pBdr>
          <w:top w:val="nil"/>
          <w:left w:val="nil"/>
          <w:bottom w:val="nil"/>
          <w:right w:val="nil"/>
          <w:between w:val="nil"/>
        </w:pBdr>
        <w:tabs>
          <w:tab w:val="center" w:pos="4419"/>
          <w:tab w:val="right" w:pos="8838"/>
        </w:tabs>
        <w:rPr>
          <w:sz w:val="16"/>
          <w:szCs w:val="16"/>
        </w:rPr>
      </w:pPr>
      <w:r>
        <w:rPr>
          <w:vertAlign w:val="superscript"/>
        </w:rPr>
        <w:footnoteRef/>
      </w:r>
      <w:r>
        <w:rPr>
          <w:sz w:val="16"/>
          <w:szCs w:val="16"/>
        </w:rPr>
        <w:t xml:space="preserve"> Sentencia SC 370-2023. MP Aroldo Wilson Quiroz Montalvo. 24 de agosto de 2023.</w:t>
      </w:r>
    </w:p>
    <w:p w:rsidR="00EE6C6A" w:rsidRDefault="00EE6C6A">
      <w:pPr>
        <w:pBdr>
          <w:top w:val="nil"/>
          <w:left w:val="nil"/>
          <w:bottom w:val="nil"/>
          <w:right w:val="nil"/>
          <w:between w:val="nil"/>
        </w:pBdr>
        <w:rPr>
          <w:sz w:val="20"/>
          <w:szCs w:val="20"/>
        </w:rPr>
      </w:pPr>
    </w:p>
  </w:footnote>
  <w:footnote w:id="5">
    <w:p w:rsidR="00EE6C6A" w:rsidRDefault="00317F1B">
      <w:pPr>
        <w:rPr>
          <w:sz w:val="20"/>
          <w:szCs w:val="20"/>
        </w:rPr>
      </w:pPr>
      <w:r>
        <w:rPr>
          <w:vertAlign w:val="superscript"/>
        </w:rPr>
        <w:footnoteRef/>
      </w:r>
      <w:r>
        <w:rPr>
          <w:sz w:val="20"/>
          <w:szCs w:val="20"/>
        </w:rPr>
        <w:t xml:space="preserve"> Fuente: </w:t>
      </w:r>
      <w:hyperlink r:id="rId1">
        <w:r>
          <w:rPr>
            <w:color w:val="1155CC"/>
            <w:sz w:val="20"/>
            <w:szCs w:val="20"/>
            <w:u w:val="single"/>
          </w:rPr>
          <w:t>Informe Seguridad Urbana en Bogotá D.C_0.pdf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6C6A" w:rsidRDefault="00EE6C6A">
    <w:pPr>
      <w:widowControl w:val="0"/>
      <w:pBdr>
        <w:top w:val="nil"/>
        <w:left w:val="nil"/>
        <w:bottom w:val="nil"/>
        <w:right w:val="nil"/>
        <w:between w:val="nil"/>
      </w:pBdr>
      <w:spacing w:line="276" w:lineRule="auto"/>
      <w:rPr>
        <w:sz w:val="20"/>
        <w:szCs w:val="20"/>
      </w:rPr>
    </w:pPr>
  </w:p>
  <w:tbl>
    <w:tblPr>
      <w:tblStyle w:val="a0"/>
      <w:tblW w:w="8830" w:type="dxa"/>
      <w:tblLayout w:type="fixed"/>
      <w:tblLook w:val="0000" w:firstRow="0" w:lastRow="0" w:firstColumn="0" w:lastColumn="0" w:noHBand="0" w:noVBand="0"/>
    </w:tblPr>
    <w:tblGrid>
      <w:gridCol w:w="2361"/>
      <w:gridCol w:w="4235"/>
      <w:gridCol w:w="2234"/>
    </w:tblGrid>
    <w:tr w:rsidR="00EE6C6A">
      <w:trPr>
        <w:trHeight w:val="454"/>
      </w:trPr>
      <w:tc>
        <w:tcPr>
          <w:tcW w:w="2361" w:type="dxa"/>
          <w:vMerge w:val="restart"/>
          <w:tcBorders>
            <w:top w:val="single" w:sz="4" w:space="0" w:color="000000"/>
            <w:left w:val="single" w:sz="4" w:space="0" w:color="000000"/>
            <w:right w:val="single" w:sz="4" w:space="0" w:color="000000"/>
          </w:tcBorders>
          <w:vAlign w:val="center"/>
        </w:tcPr>
        <w:p w:rsidR="00EE6C6A" w:rsidRDefault="00EE6C6A">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rsidR="00EE6C6A" w:rsidRDefault="00317F1B">
          <w:pPr>
            <w:jc w:val="center"/>
            <w:rPr>
              <w:sz w:val="20"/>
              <w:szCs w:val="20"/>
            </w:rPr>
          </w:pPr>
          <w:r>
            <w:rPr>
              <w:sz w:val="20"/>
              <w:szCs w:val="20"/>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EE6C6A" w:rsidRDefault="00317F1B">
          <w:pPr>
            <w:rPr>
              <w:sz w:val="16"/>
              <w:szCs w:val="16"/>
            </w:rPr>
          </w:pPr>
          <w:r>
            <w:rPr>
              <w:sz w:val="16"/>
              <w:szCs w:val="16"/>
            </w:rPr>
            <w:t>CÓDIGO</w:t>
          </w:r>
          <w:r>
            <w:rPr>
              <w:color w:val="3366FF"/>
              <w:sz w:val="16"/>
              <w:szCs w:val="16"/>
            </w:rPr>
            <w:t xml:space="preserve">: </w:t>
          </w:r>
          <w:r>
            <w:rPr>
              <w:sz w:val="16"/>
              <w:szCs w:val="16"/>
            </w:rPr>
            <w:t>GNV-FO-001</w:t>
          </w:r>
        </w:p>
      </w:tc>
    </w:tr>
    <w:tr w:rsidR="00EE6C6A">
      <w:trPr>
        <w:trHeight w:val="454"/>
      </w:trPr>
      <w:tc>
        <w:tcPr>
          <w:tcW w:w="2361" w:type="dxa"/>
          <w:vMerge/>
          <w:tcBorders>
            <w:top w:val="single" w:sz="4" w:space="0" w:color="000000"/>
            <w:left w:val="single" w:sz="4" w:space="0" w:color="000000"/>
            <w:right w:val="single" w:sz="4" w:space="0" w:color="000000"/>
          </w:tcBorders>
          <w:vAlign w:val="center"/>
        </w:tcPr>
        <w:p w:rsidR="00EE6C6A" w:rsidRDefault="00EE6C6A">
          <w:pPr>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EE6C6A" w:rsidRDefault="00317F1B">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rsidR="00EE6C6A" w:rsidRDefault="00317F1B">
          <w:pPr>
            <w:rPr>
              <w:sz w:val="16"/>
              <w:szCs w:val="16"/>
            </w:rPr>
          </w:pPr>
          <w:r>
            <w:rPr>
              <w:sz w:val="16"/>
              <w:szCs w:val="16"/>
            </w:rPr>
            <w:t>VERSIÓN:    02</w:t>
          </w:r>
        </w:p>
      </w:tc>
    </w:tr>
    <w:tr w:rsidR="00EE6C6A">
      <w:trPr>
        <w:trHeight w:val="454"/>
      </w:trPr>
      <w:tc>
        <w:tcPr>
          <w:tcW w:w="2361" w:type="dxa"/>
          <w:vMerge/>
          <w:tcBorders>
            <w:top w:val="single" w:sz="4" w:space="0" w:color="000000"/>
            <w:left w:val="single" w:sz="4" w:space="0" w:color="000000"/>
            <w:right w:val="single" w:sz="4" w:space="0" w:color="000000"/>
          </w:tcBorders>
          <w:vAlign w:val="center"/>
        </w:tcPr>
        <w:p w:rsidR="00EE6C6A" w:rsidRDefault="00EE6C6A">
          <w:pPr>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EE6C6A" w:rsidRDefault="00EE6C6A">
          <w:pPr>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EE6C6A" w:rsidRDefault="00317F1B">
          <w:pPr>
            <w:rPr>
              <w:sz w:val="16"/>
              <w:szCs w:val="16"/>
            </w:rPr>
          </w:pPr>
          <w:r>
            <w:rPr>
              <w:sz w:val="16"/>
              <w:szCs w:val="16"/>
            </w:rPr>
            <w:t>FECHA: 14-Nov-2019</w:t>
          </w:r>
        </w:p>
      </w:tc>
    </w:tr>
  </w:tbl>
  <w:p w:rsidR="00EE6C6A" w:rsidRDefault="00317F1B">
    <w:pPr>
      <w:pBdr>
        <w:top w:val="nil"/>
        <w:left w:val="nil"/>
        <w:bottom w:val="nil"/>
        <w:right w:val="nil"/>
        <w:between w:val="nil"/>
      </w:pBdr>
      <w:tabs>
        <w:tab w:val="center" w:pos="4252"/>
        <w:tab w:val="right" w:pos="8504"/>
      </w:tabs>
      <w:rPr>
        <w:color w:val="000000"/>
      </w:rPr>
    </w:pPr>
    <w:r>
      <w:rPr>
        <w:noProof/>
        <w:lang w:val="es-CO"/>
      </w:rPr>
      <w:drawing>
        <wp:anchor distT="0" distB="0" distL="0" distR="0" simplePos="0" relativeHeight="251658240" behindDoc="1" locked="0" layoutInCell="1" hidden="0" allowOverlap="1">
          <wp:simplePos x="0" y="0"/>
          <wp:positionH relativeFrom="column">
            <wp:posOffset>441325</wp:posOffset>
          </wp:positionH>
          <wp:positionV relativeFrom="paragraph">
            <wp:posOffset>-890267</wp:posOffset>
          </wp:positionV>
          <wp:extent cx="752475" cy="885825"/>
          <wp:effectExtent l="0" t="0" r="0" b="0"/>
          <wp:wrapNone/>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rsidR="00EE6C6A" w:rsidRDefault="00EE6C6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10C14"/>
    <w:multiLevelType w:val="multilevel"/>
    <w:tmpl w:val="32FAEA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98D645F"/>
    <w:multiLevelType w:val="multilevel"/>
    <w:tmpl w:val="D39C847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7D83E68"/>
    <w:multiLevelType w:val="multilevel"/>
    <w:tmpl w:val="A8903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7A914AB"/>
    <w:multiLevelType w:val="multilevel"/>
    <w:tmpl w:val="1C623BD0"/>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426E3F95"/>
    <w:multiLevelType w:val="multilevel"/>
    <w:tmpl w:val="D8D05F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2917F95"/>
    <w:multiLevelType w:val="multilevel"/>
    <w:tmpl w:val="A85ECE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BD9185C"/>
    <w:multiLevelType w:val="multilevel"/>
    <w:tmpl w:val="801C1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4AC6366"/>
    <w:multiLevelType w:val="multilevel"/>
    <w:tmpl w:val="FE20DE0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66884CA7"/>
    <w:multiLevelType w:val="multilevel"/>
    <w:tmpl w:val="D5AA70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1C90CD5"/>
    <w:multiLevelType w:val="multilevel"/>
    <w:tmpl w:val="D22A5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70C5648"/>
    <w:multiLevelType w:val="multilevel"/>
    <w:tmpl w:val="8D964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7C808B9"/>
    <w:multiLevelType w:val="multilevel"/>
    <w:tmpl w:val="C2942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EE74B03"/>
    <w:multiLevelType w:val="multilevel"/>
    <w:tmpl w:val="0E8EAA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3"/>
  </w:num>
  <w:num w:numId="3">
    <w:abstractNumId w:val="12"/>
  </w:num>
  <w:num w:numId="4">
    <w:abstractNumId w:val="2"/>
  </w:num>
  <w:num w:numId="5">
    <w:abstractNumId w:val="4"/>
  </w:num>
  <w:num w:numId="6">
    <w:abstractNumId w:val="5"/>
  </w:num>
  <w:num w:numId="7">
    <w:abstractNumId w:val="1"/>
  </w:num>
  <w:num w:numId="8">
    <w:abstractNumId w:val="9"/>
  </w:num>
  <w:num w:numId="9">
    <w:abstractNumId w:val="7"/>
  </w:num>
  <w:num w:numId="10">
    <w:abstractNumId w:val="6"/>
  </w:num>
  <w:num w:numId="11">
    <w:abstractNumId w:val="11"/>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6C6A"/>
    <w:rsid w:val="00317F1B"/>
    <w:rsid w:val="00DE2E33"/>
    <w:rsid w:val="00EE6C6A"/>
    <w:rsid w:val="00F102DC"/>
    <w:rsid w:val="00FC1FE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D60BB97-F67F-4D43-B535-1C1735DE0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pPr>
      <w:keepNext/>
      <w:outlineLvl w:val="1"/>
    </w:pPr>
    <w:rPr>
      <w:rFonts w:ascii="Times New Roman" w:eastAsia="Times New Roman" w:hAnsi="Times New Roman" w:cs="Times New Roman"/>
      <w:color w:val="000000"/>
    </w:rPr>
  </w:style>
  <w:style w:type="paragraph" w:styleId="Ttulo3">
    <w:name w:val="heading 3"/>
    <w:basedOn w:val="Normal"/>
    <w:next w:val="Normal"/>
    <w:pPr>
      <w:keepNext/>
      <w:keepLines/>
      <w:spacing w:before="40"/>
      <w:outlineLvl w:val="2"/>
    </w:pPr>
    <w:rPr>
      <w:rFonts w:ascii="Cambria" w:eastAsia="Cambria" w:hAnsi="Cambria" w:cs="Cambria"/>
      <w:color w:val="243F61"/>
    </w:rPr>
  </w:style>
  <w:style w:type="paragraph" w:styleId="Ttulo4">
    <w:name w:val="heading 4"/>
    <w:basedOn w:val="Normal"/>
    <w:next w:val="Normal"/>
    <w:pPr>
      <w:keepNext/>
      <w:spacing w:before="240" w:after="60"/>
      <w:outlineLvl w:val="3"/>
    </w:pPr>
    <w:rPr>
      <w:rFonts w:ascii="Times New Roman" w:eastAsia="Times New Roman" w:hAnsi="Times New Roman" w:cs="Times New Roman"/>
      <w:b/>
      <w:color w:val="000000"/>
      <w:sz w:val="28"/>
      <w:szCs w:val="28"/>
    </w:rPr>
  </w:style>
  <w:style w:type="paragraph" w:styleId="Ttulo5">
    <w:name w:val="heading 5"/>
    <w:basedOn w:val="Normal"/>
    <w:next w:val="Normal"/>
    <w:pPr>
      <w:keepNext/>
      <w:keepLines/>
      <w:spacing w:before="200"/>
      <w:outlineLvl w:val="4"/>
    </w:pPr>
    <w:rPr>
      <w:rFonts w:ascii="Cambria" w:eastAsia="Cambria" w:hAnsi="Cambria" w:cs="Cambria"/>
      <w:color w:val="243F60"/>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Ttulo1Car">
    <w:name w:val="Título 1 Car"/>
    <w:basedOn w:val="Fuentedeprrafopredeter"/>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uiPriority w:val="99"/>
    <w:locked/>
    <w:rsid w:val="00BD4F10"/>
    <w:rPr>
      <w:rFonts w:cs="Times New Roman"/>
      <w:b/>
      <w:sz w:val="28"/>
      <w:lang w:val="es-ES" w:eastAsia="es-ES"/>
    </w:rPr>
  </w:style>
  <w:style w:type="character" w:customStyle="1" w:styleId="Ttulo5Car">
    <w:name w:val="Título 5 Car"/>
    <w:basedOn w:val="Fuentedeprrafopredeter"/>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NormalWeb">
    <w:name w:val="Normal (Web)"/>
    <w:aliases w:val="Car Car Car Car Car Car Car Car Car Car,Car Car Car Car Car Car Car Car Car Car Car Car Car,Car2,Normal (Web) Car Car"/>
    <w:basedOn w:val="Normal"/>
    <w:link w:val="NormalWebCar"/>
    <w:uiPriority w:val="99"/>
    <w:unhideWhenUsed/>
    <w:qFormat/>
    <w:rsid w:val="00D20E8F"/>
    <w:pPr>
      <w:spacing w:before="100" w:beforeAutospacing="1" w:after="100" w:afterAutospacing="1"/>
    </w:pPr>
    <w:rPr>
      <w:rFonts w:ascii="Times New Roman" w:hAnsi="Times New Roman"/>
      <w:lang w:val="es-CO" w:eastAsia="es-MX"/>
    </w:rPr>
  </w:style>
  <w:style w:type="paragraph" w:styleId="Sinespaciado">
    <w:name w:val="No Spacing"/>
    <w:uiPriority w:val="1"/>
    <w:qFormat/>
    <w:rsid w:val="00D200E8"/>
    <w:rPr>
      <w:rFonts w:ascii="Calibri" w:eastAsia="Calibri" w:hAnsi="Calibri"/>
      <w:sz w:val="22"/>
      <w:szCs w:val="22"/>
      <w:lang w:eastAsia="en-US"/>
    </w:rPr>
  </w:style>
  <w:style w:type="character" w:styleId="Textoennegrita">
    <w:name w:val="Strong"/>
    <w:basedOn w:val="Fuentedeprrafopredeter"/>
    <w:uiPriority w:val="22"/>
    <w:qFormat/>
    <w:locked/>
    <w:rsid w:val="00FF0BB8"/>
    <w:rPr>
      <w:b/>
      <w:bCs/>
    </w:rPr>
  </w:style>
  <w:style w:type="character" w:styleId="nfasis">
    <w:name w:val="Emphasis"/>
    <w:basedOn w:val="Fuentedeprrafopredeter"/>
    <w:uiPriority w:val="20"/>
    <w:qFormat/>
    <w:locked/>
    <w:rsid w:val="00FF0BB8"/>
    <w:rPr>
      <w:i/>
      <w:iCs/>
    </w:rPr>
  </w:style>
  <w:style w:type="paragraph" w:styleId="Textonotapie">
    <w:name w:val="footnote text"/>
    <w:basedOn w:val="Normal"/>
    <w:link w:val="TextonotapieCar"/>
    <w:uiPriority w:val="99"/>
    <w:semiHidden/>
    <w:unhideWhenUsed/>
    <w:rsid w:val="00FF0BB8"/>
    <w:rPr>
      <w:sz w:val="20"/>
      <w:lang w:val="es-CO" w:eastAsia="es-MX"/>
    </w:rPr>
  </w:style>
  <w:style w:type="character" w:customStyle="1" w:styleId="TextonotapieCar">
    <w:name w:val="Texto nota pie Car"/>
    <w:basedOn w:val="Fuentedeprrafopredeter"/>
    <w:link w:val="Textonotapie"/>
    <w:uiPriority w:val="99"/>
    <w:semiHidden/>
    <w:rsid w:val="00FF0BB8"/>
    <w:rPr>
      <w:rFonts w:ascii="Arial" w:eastAsia="Arial" w:hAnsi="Arial" w:cs="Arial"/>
      <w:lang w:val="es-CO" w:eastAsia="es-MX"/>
    </w:rPr>
  </w:style>
  <w:style w:type="character" w:styleId="Refdenotaalpie">
    <w:name w:val="footnote reference"/>
    <w:basedOn w:val="Fuentedeprrafopredeter"/>
    <w:uiPriority w:val="99"/>
    <w:semiHidden/>
    <w:unhideWhenUsed/>
    <w:rsid w:val="00FF0BB8"/>
    <w:rPr>
      <w:vertAlign w:val="superscript"/>
    </w:rPr>
  </w:style>
  <w:style w:type="character" w:customStyle="1" w:styleId="apple-converted-space">
    <w:name w:val="apple-converted-space"/>
    <w:basedOn w:val="Fuentedeprrafopredeter"/>
    <w:rsid w:val="004A397E"/>
  </w:style>
  <w:style w:type="table" w:styleId="Tabladecuadrcula4-nfasis6">
    <w:name w:val="Grid Table 4 Accent 6"/>
    <w:basedOn w:val="Tablanormal"/>
    <w:uiPriority w:val="49"/>
    <w:rsid w:val="00C96A9D"/>
    <w:rPr>
      <w:rFonts w:asciiTheme="minorHAnsi" w:eastAsiaTheme="minorHAnsi" w:hAnsiTheme="minorHAnsi" w:cstheme="minorBidi"/>
      <w:sz w:val="22"/>
      <w:szCs w:val="22"/>
      <w:lang w:val="es-CO"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eNormal1">
    <w:name w:val="Table Normal"/>
    <w:uiPriority w:val="2"/>
    <w:semiHidden/>
    <w:unhideWhenUsed/>
    <w:qFormat/>
    <w:rsid w:val="0010775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0775F"/>
    <w:pPr>
      <w:widowControl w:val="0"/>
      <w:autoSpaceDE w:val="0"/>
      <w:autoSpaceDN w:val="0"/>
      <w:ind w:left="107"/>
    </w:pPr>
    <w:rPr>
      <w:rFonts w:ascii="Arial MT" w:eastAsia="Arial MT" w:hAnsi="Arial MT" w:cs="Arial MT"/>
      <w:sz w:val="22"/>
      <w:szCs w:val="22"/>
      <w:lang w:eastAsia="en-US"/>
    </w:rPr>
  </w:style>
  <w:style w:type="paragraph" w:customStyle="1" w:styleId="Default">
    <w:name w:val="Default"/>
    <w:rsid w:val="005A23AF"/>
    <w:pPr>
      <w:autoSpaceDE w:val="0"/>
      <w:autoSpaceDN w:val="0"/>
      <w:adjustRightInd w:val="0"/>
      <w:spacing w:after="160" w:line="259" w:lineRule="auto"/>
    </w:pPr>
    <w:rPr>
      <w:rFonts w:eastAsia="Calibri"/>
      <w:color w:val="000000"/>
      <w:lang w:val="es-CO"/>
    </w:rPr>
  </w:style>
  <w:style w:type="character" w:customStyle="1" w:styleId="NormalWebCar">
    <w:name w:val="Normal (Web) Car"/>
    <w:aliases w:val="Car Car Car Car Car Car Car Car Car Car Car,Car Car Car Car Car Car Car Car Car Car Car Car Car Car,Car2 Car,Normal (Web) Car Car Car"/>
    <w:link w:val="NormalWeb"/>
    <w:uiPriority w:val="99"/>
    <w:locked/>
    <w:rsid w:val="005A23AF"/>
    <w:rPr>
      <w:sz w:val="24"/>
      <w:szCs w:val="24"/>
      <w:lang w:val="es-CO" w:eastAsia="es-MX"/>
    </w:rPr>
  </w:style>
  <w:style w:type="table" w:customStyle="1" w:styleId="Style40">
    <w:name w:val="_Style 40"/>
    <w:basedOn w:val="Tablanormal"/>
    <w:rsid w:val="0078473D"/>
    <w:tblPr>
      <w:tblInd w:w="0" w:type="nil"/>
      <w:tblCellMar>
        <w:left w:w="70" w:type="dxa"/>
        <w:right w:w="70" w:type="dxa"/>
      </w:tblCellMar>
    </w:tblPr>
  </w:style>
  <w:style w:type="character" w:customStyle="1" w:styleId="Ttulo3Car">
    <w:name w:val="Título 3 Car"/>
    <w:basedOn w:val="Fuentedeprrafopredeter"/>
    <w:semiHidden/>
    <w:rsid w:val="00831F46"/>
    <w:rPr>
      <w:rFonts w:asciiTheme="majorHAnsi" w:eastAsiaTheme="majorEastAsia" w:hAnsiTheme="majorHAnsi" w:cstheme="majorBidi"/>
      <w:color w:val="243F60" w:themeColor="accent1" w:themeShade="7F"/>
      <w:sz w:val="24"/>
      <w:szCs w:val="24"/>
    </w:rPr>
  </w:style>
  <w:style w:type="paragraph" w:styleId="Revisin">
    <w:name w:val="Revision"/>
    <w:hidden/>
    <w:uiPriority w:val="99"/>
    <w:semiHidden/>
    <w:rsid w:val="00785270"/>
    <w:rPr>
      <w:color w:val="000000"/>
    </w:rPr>
  </w:style>
  <w:style w:type="paragraph" w:styleId="Asuntodelcomentario">
    <w:name w:val="annotation subject"/>
    <w:basedOn w:val="Textocomentario"/>
    <w:next w:val="Textocomentario"/>
    <w:link w:val="AsuntodelcomentarioCar"/>
    <w:uiPriority w:val="99"/>
    <w:semiHidden/>
    <w:unhideWhenUsed/>
    <w:rsid w:val="006C2258"/>
    <w:rPr>
      <w:b/>
      <w:bCs/>
    </w:rPr>
  </w:style>
  <w:style w:type="character" w:customStyle="1" w:styleId="AsuntodelcomentarioCar">
    <w:name w:val="Asunto del comentario Car"/>
    <w:basedOn w:val="TextocomentarioCar"/>
    <w:link w:val="Asuntodelcomentario"/>
    <w:uiPriority w:val="99"/>
    <w:semiHidden/>
    <w:rsid w:val="006C2258"/>
    <w:rPr>
      <w:rFonts w:ascii="Arial" w:hAnsi="Arial" w:cs="Times New Roman"/>
      <w:b/>
      <w:bCs/>
      <w:color w:val="000000"/>
      <w:sz w:val="20"/>
      <w:szCs w:val="20"/>
    </w:rPr>
  </w:style>
  <w:style w:type="table" w:customStyle="1" w:styleId="a">
    <w:basedOn w:val="TableNormal1"/>
    <w:tblPr>
      <w:tblStyleRowBandSize w:val="1"/>
      <w:tblStyleColBandSize w:val="1"/>
      <w:tblCellMar>
        <w:left w:w="70" w:type="dxa"/>
        <w:right w:w="70" w:type="dxa"/>
      </w:tblCellMar>
    </w:tbl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0">
    <w:basedOn w:val="TableNormal1"/>
    <w:rPr>
      <w:rFonts w:ascii="Calibri" w:eastAsia="Calibri" w:hAnsi="Calibri" w:cs="Calibri"/>
    </w:rPr>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undp.org/es/sustainable-development-goals/ciudades-comunidades-sostenibles?utm_source=chatgpt.com" TargetMode="External"/><Relationship Id="rId13" Type="http://schemas.openxmlformats.org/officeDocument/2006/relationships/hyperlink" Target="https://www.alcaldiabogota.gov.co/sisjur/normas/Norma1.jsp?i=119582"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lcaldiabogota.gov.co/sisjur/normas/Norma1.jsp?i=119582"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cejodebogota.gov.co/concejo/site/docs/20240124/asocfile/20240124201722/edicion_762_acuerdo_927_del_2024.pdf" TargetMode="External"/><Relationship Id="rId5" Type="http://schemas.openxmlformats.org/officeDocument/2006/relationships/webSettings" Target="webSettings.xml"/><Relationship Id="rId15" Type="http://schemas.openxmlformats.org/officeDocument/2006/relationships/hyperlink" Target="https://www.undp.org/es/sustainable-development-goals" TargetMode="External"/><Relationship Id="rId10" Type="http://schemas.openxmlformats.org/officeDocument/2006/relationships/hyperlink" Target="https://concejodebogota.gov.co/concejo/site/docs/20240124/asocfile/20240124201722/edicion_762_acuerdo_927_del_2024.pdf"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cvp.gov.co/plan-de-desarrollo-distrital-2024-2027-bogota-camina-segura?utm_source=chatgpt.com" TargetMode="External"/><Relationship Id="rId14" Type="http://schemas.openxmlformats.org/officeDocument/2006/relationships/hyperlink" Target="https://www.undp.org/es/sustainable-development-goal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www.contraloriabogota.gov.co/sites/default/files/2025-08/Informe%20Seguridad%20Urbana%20en%20Bogota%20D.C_0.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8oXAIJ4pyCMIrijTfHgpRrhP9A==">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5821</Words>
  <Characters>32016</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MARGARITA ROCIO TORRES NOVA</cp:lastModifiedBy>
  <cp:revision>4</cp:revision>
  <dcterms:created xsi:type="dcterms:W3CDTF">2025-10-31T16:17:00Z</dcterms:created>
  <dcterms:modified xsi:type="dcterms:W3CDTF">2025-11-04T15:13:00Z</dcterms:modified>
</cp:coreProperties>
</file>